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91C4" w14:textId="77777777" w:rsidR="00F320E6" w:rsidRDefault="00F320E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1644285"/>
      <w:r w:rsidRPr="00011596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093FD02B" w14:textId="44EFCBBE" w:rsidR="00F320E6" w:rsidRDefault="00F320E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KATOLIČKI BOGOSLOVNI FAKULTET</w:t>
      </w:r>
    </w:p>
    <w:p w14:paraId="3E681742" w14:textId="6748AB6E" w:rsidR="00761726" w:rsidRDefault="0076172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Zrinsko-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69E57925" w14:textId="77777777" w:rsidR="00761726" w:rsidRPr="00011596" w:rsidRDefault="0076172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1AB6E" w14:textId="77777777" w:rsidR="00F320E6" w:rsidRPr="00011596" w:rsidRDefault="00F320E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OIB: 36149548625</w:t>
      </w:r>
    </w:p>
    <w:p w14:paraId="56BA8270" w14:textId="7FE09F90" w:rsidR="00F320E6" w:rsidRDefault="00F320E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RKP: 23368</w:t>
      </w:r>
    </w:p>
    <w:p w14:paraId="47110384" w14:textId="77777777" w:rsidR="00A105C1" w:rsidRPr="00011596" w:rsidRDefault="00A105C1" w:rsidP="00A10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13. ožujka 2025. godine</w:t>
      </w:r>
    </w:p>
    <w:p w14:paraId="675646F4" w14:textId="77777777" w:rsidR="00F320E6" w:rsidRPr="00011596" w:rsidRDefault="00F320E6" w:rsidP="00F32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5594CA9" w14:textId="09657096" w:rsidR="002D444E" w:rsidRDefault="00F320E6" w:rsidP="00F32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>POSEBNOG</w:t>
      </w:r>
      <w:r w:rsidRPr="00011596">
        <w:rPr>
          <w:rFonts w:ascii="Times New Roman" w:hAnsi="Times New Roman" w:cs="Times New Roman"/>
          <w:b/>
          <w:sz w:val="24"/>
          <w:szCs w:val="24"/>
        </w:rPr>
        <w:t xml:space="preserve"> DIJELA FINANCIJSKOG PLANA </w:t>
      </w:r>
      <w:r>
        <w:rPr>
          <w:rFonts w:ascii="Times New Roman" w:hAnsi="Times New Roman" w:cs="Times New Roman"/>
          <w:b/>
          <w:sz w:val="24"/>
          <w:szCs w:val="24"/>
        </w:rPr>
        <w:t>ZA 2025. GODINU I PROJEKCIJE ZA 2026. I 2027. GODINU</w:t>
      </w:r>
    </w:p>
    <w:p w14:paraId="1CD9FBB0" w14:textId="77777777" w:rsidR="00CE2D8E" w:rsidRDefault="00CE2D8E" w:rsidP="00CE2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CDD4C" w14:textId="417E1435" w:rsidR="00CE2D8E" w:rsidRPr="00F12286" w:rsidRDefault="00CE2D8E" w:rsidP="00CE2D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23F">
        <w:rPr>
          <w:rFonts w:ascii="Times New Roman" w:hAnsi="Times New Roman" w:cs="Times New Roman"/>
          <w:sz w:val="24"/>
          <w:szCs w:val="24"/>
        </w:rPr>
        <w:t>Sukladno članku 36. Zakona o proračunu (N</w:t>
      </w:r>
      <w:r>
        <w:rPr>
          <w:rFonts w:ascii="Times New Roman" w:hAnsi="Times New Roman" w:cs="Times New Roman"/>
          <w:sz w:val="24"/>
          <w:szCs w:val="24"/>
        </w:rPr>
        <w:t>arodne novine, broj</w:t>
      </w:r>
      <w:r w:rsidRPr="00C7623F">
        <w:rPr>
          <w:rFonts w:ascii="Times New Roman" w:hAnsi="Times New Roman" w:cs="Times New Roman"/>
          <w:sz w:val="24"/>
          <w:szCs w:val="24"/>
        </w:rPr>
        <w:t xml:space="preserve"> 144/21) proračunski korisnici dužni su uz prijedlog financijskog plana izraditi i dostaviti obrazloženje općeg i posebnog dijela financijskog plana.</w:t>
      </w:r>
    </w:p>
    <w:p w14:paraId="07C1C899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45970407" w14:textId="55A0ECC7" w:rsidR="004A4E59" w:rsidRPr="00761726" w:rsidRDefault="004A4E59" w:rsidP="000D6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26">
        <w:rPr>
          <w:rFonts w:ascii="Times New Roman" w:hAnsi="Times New Roman" w:cs="Times New Roman"/>
          <w:sz w:val="24"/>
          <w:szCs w:val="24"/>
        </w:rPr>
        <w:t>Katolički bogoslovni fakultet u Splitu je visokoškolska obrazovna ustanova</w:t>
      </w:r>
      <w:r w:rsidR="005F54DB" w:rsidRPr="00761726">
        <w:rPr>
          <w:rFonts w:ascii="Times New Roman" w:hAnsi="Times New Roman" w:cs="Times New Roman"/>
          <w:sz w:val="24"/>
          <w:szCs w:val="24"/>
        </w:rPr>
        <w:t xml:space="preserve"> koja je postala sastavnica Sveučilišta u Splitu 09.07.1999.</w:t>
      </w:r>
      <w:r w:rsidR="00F320E6" w:rsidRPr="00761726">
        <w:rPr>
          <w:rFonts w:ascii="Times New Roman" w:hAnsi="Times New Roman" w:cs="Times New Roman"/>
          <w:sz w:val="24"/>
          <w:szCs w:val="24"/>
        </w:rPr>
        <w:t xml:space="preserve"> godine.</w:t>
      </w:r>
      <w:r w:rsidR="005F54DB" w:rsidRPr="00761726">
        <w:rPr>
          <w:rFonts w:ascii="Times New Roman" w:hAnsi="Times New Roman" w:cs="Times New Roman"/>
          <w:sz w:val="24"/>
          <w:szCs w:val="24"/>
        </w:rPr>
        <w:t xml:space="preserve"> Na fakultetu</w:t>
      </w:r>
      <w:r w:rsidRPr="00761726">
        <w:rPr>
          <w:rFonts w:ascii="Times New Roman" w:hAnsi="Times New Roman" w:cs="Times New Roman"/>
          <w:sz w:val="24"/>
          <w:szCs w:val="24"/>
        </w:rPr>
        <w:t xml:space="preserve"> se izvode tri studijska programa: Integrirani pr</w:t>
      </w:r>
      <w:r w:rsidR="00F320E6" w:rsidRPr="00761726">
        <w:rPr>
          <w:rFonts w:ascii="Times New Roman" w:hAnsi="Times New Roman" w:cs="Times New Roman"/>
          <w:sz w:val="24"/>
          <w:szCs w:val="24"/>
        </w:rPr>
        <w:t>ije</w:t>
      </w:r>
      <w:r w:rsidRPr="00761726">
        <w:rPr>
          <w:rFonts w:ascii="Times New Roman" w:hAnsi="Times New Roman" w:cs="Times New Roman"/>
          <w:sz w:val="24"/>
          <w:szCs w:val="24"/>
        </w:rPr>
        <w:t>diplomski i diplomski filozofsko-teološk</w:t>
      </w:r>
      <w:r w:rsidR="00F320E6" w:rsidRPr="00761726">
        <w:rPr>
          <w:rFonts w:ascii="Times New Roman" w:hAnsi="Times New Roman" w:cs="Times New Roman"/>
          <w:sz w:val="24"/>
          <w:szCs w:val="24"/>
        </w:rPr>
        <w:t>i</w:t>
      </w:r>
      <w:r w:rsidRPr="00761726">
        <w:rPr>
          <w:rFonts w:ascii="Times New Roman" w:hAnsi="Times New Roman" w:cs="Times New Roman"/>
          <w:sz w:val="24"/>
          <w:szCs w:val="24"/>
        </w:rPr>
        <w:t xml:space="preserve"> studij koji traje 5 godina, P</w:t>
      </w:r>
      <w:r w:rsidR="00F320E6" w:rsidRPr="00761726">
        <w:rPr>
          <w:rFonts w:ascii="Times New Roman" w:hAnsi="Times New Roman" w:cs="Times New Roman"/>
          <w:sz w:val="24"/>
          <w:szCs w:val="24"/>
        </w:rPr>
        <w:t>rije</w:t>
      </w:r>
      <w:r w:rsidRPr="00761726">
        <w:rPr>
          <w:rFonts w:ascii="Times New Roman" w:hAnsi="Times New Roman" w:cs="Times New Roman"/>
          <w:sz w:val="24"/>
          <w:szCs w:val="24"/>
        </w:rPr>
        <w:t>diplomsk</w:t>
      </w:r>
      <w:r w:rsidR="00F320E6" w:rsidRPr="00761726">
        <w:rPr>
          <w:rFonts w:ascii="Times New Roman" w:hAnsi="Times New Roman" w:cs="Times New Roman"/>
          <w:sz w:val="24"/>
          <w:szCs w:val="24"/>
        </w:rPr>
        <w:t>i</w:t>
      </w:r>
      <w:r w:rsidRPr="00761726">
        <w:rPr>
          <w:rFonts w:ascii="Times New Roman" w:hAnsi="Times New Roman" w:cs="Times New Roman"/>
          <w:sz w:val="24"/>
          <w:szCs w:val="24"/>
        </w:rPr>
        <w:t xml:space="preserve"> teološko</w:t>
      </w:r>
      <w:r w:rsidR="00F320E6" w:rsidRPr="00761726">
        <w:rPr>
          <w:rFonts w:ascii="Times New Roman" w:hAnsi="Times New Roman" w:cs="Times New Roman"/>
          <w:sz w:val="24"/>
          <w:szCs w:val="24"/>
        </w:rPr>
        <w:t>-</w:t>
      </w:r>
      <w:r w:rsidRPr="00761726">
        <w:rPr>
          <w:rFonts w:ascii="Times New Roman" w:hAnsi="Times New Roman" w:cs="Times New Roman"/>
          <w:sz w:val="24"/>
          <w:szCs w:val="24"/>
        </w:rPr>
        <w:t xml:space="preserve"> katehetski studij koji traje 3 god</w:t>
      </w:r>
      <w:r w:rsidR="00F320E6" w:rsidRPr="00761726">
        <w:rPr>
          <w:rFonts w:ascii="Times New Roman" w:hAnsi="Times New Roman" w:cs="Times New Roman"/>
          <w:sz w:val="24"/>
          <w:szCs w:val="24"/>
        </w:rPr>
        <w:t>ine</w:t>
      </w:r>
      <w:r w:rsidRPr="00761726">
        <w:rPr>
          <w:rFonts w:ascii="Times New Roman" w:hAnsi="Times New Roman" w:cs="Times New Roman"/>
          <w:sz w:val="24"/>
          <w:szCs w:val="24"/>
        </w:rPr>
        <w:t xml:space="preserve"> i </w:t>
      </w:r>
      <w:r w:rsidR="000D6D2E" w:rsidRPr="00761726">
        <w:rPr>
          <w:rFonts w:ascii="Times New Roman" w:hAnsi="Times New Roman" w:cs="Times New Roman"/>
          <w:sz w:val="24"/>
          <w:szCs w:val="24"/>
        </w:rPr>
        <w:t>D</w:t>
      </w:r>
      <w:r w:rsidRPr="00761726">
        <w:rPr>
          <w:rFonts w:ascii="Times New Roman" w:hAnsi="Times New Roman" w:cs="Times New Roman"/>
          <w:sz w:val="24"/>
          <w:szCs w:val="24"/>
        </w:rPr>
        <w:t>iplomsk</w:t>
      </w:r>
      <w:r w:rsidR="00F320E6" w:rsidRPr="00761726">
        <w:rPr>
          <w:rFonts w:ascii="Times New Roman" w:hAnsi="Times New Roman" w:cs="Times New Roman"/>
          <w:sz w:val="24"/>
          <w:szCs w:val="24"/>
        </w:rPr>
        <w:t>i</w:t>
      </w:r>
      <w:r w:rsidRPr="00761726">
        <w:rPr>
          <w:rFonts w:ascii="Times New Roman" w:hAnsi="Times New Roman" w:cs="Times New Roman"/>
          <w:sz w:val="24"/>
          <w:szCs w:val="24"/>
        </w:rPr>
        <w:t xml:space="preserve"> teološk</w:t>
      </w:r>
      <w:r w:rsidR="00F320E6" w:rsidRPr="00761726">
        <w:rPr>
          <w:rFonts w:ascii="Times New Roman" w:hAnsi="Times New Roman" w:cs="Times New Roman"/>
          <w:sz w:val="24"/>
          <w:szCs w:val="24"/>
        </w:rPr>
        <w:t>o</w:t>
      </w:r>
      <w:r w:rsidRPr="00761726">
        <w:rPr>
          <w:rFonts w:ascii="Times New Roman" w:hAnsi="Times New Roman" w:cs="Times New Roman"/>
          <w:sz w:val="24"/>
          <w:szCs w:val="24"/>
        </w:rPr>
        <w:t xml:space="preserve">-katehetski studij koji traje 2 godine. </w:t>
      </w:r>
      <w:r w:rsidR="000D6D2E" w:rsidRPr="00761726">
        <w:rPr>
          <w:rFonts w:ascii="Times New Roman" w:hAnsi="Times New Roman" w:cs="Times New Roman"/>
          <w:sz w:val="24"/>
          <w:szCs w:val="24"/>
        </w:rPr>
        <w:t>Na fakultetu se izvode i poslijediplomski studiji Kršćanstvo i suvremena kultura te Povijest teologije i kršćanskih institucija.</w:t>
      </w:r>
    </w:p>
    <w:p w14:paraId="4D826792" w14:textId="164E7C20" w:rsidR="004A4E59" w:rsidRPr="00761726" w:rsidRDefault="004A4E59" w:rsidP="000D6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26">
        <w:rPr>
          <w:rFonts w:ascii="Times New Roman" w:hAnsi="Times New Roman" w:cs="Times New Roman"/>
          <w:sz w:val="24"/>
          <w:szCs w:val="24"/>
        </w:rPr>
        <w:t xml:space="preserve">Financiranje fakulteta je uglavnom iz državnog proračuna. Zaposlenici i sva njihova prava plaćaju se direktno iz riznice, a preko programskih ugovora dobivamo sredstva za redovan rad. </w:t>
      </w:r>
    </w:p>
    <w:p w14:paraId="1ECC1C84" w14:textId="77777777" w:rsidR="004A4E59" w:rsidRPr="00761726" w:rsidRDefault="004A4E59" w:rsidP="000D6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26">
        <w:rPr>
          <w:rFonts w:ascii="Times New Roman" w:hAnsi="Times New Roman" w:cs="Times New Roman"/>
          <w:sz w:val="24"/>
          <w:szCs w:val="24"/>
        </w:rPr>
        <w:t xml:space="preserve">Vlastiti i namjenski prihodi su skromni i također služe za pokrivanje redovnog poslovanja i funkcioniranja nastavnih programa. </w:t>
      </w:r>
    </w:p>
    <w:p w14:paraId="176EAA94" w14:textId="77777777" w:rsidR="004A4E59" w:rsidRPr="00761726" w:rsidRDefault="004A4E59" w:rsidP="000D6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26">
        <w:rPr>
          <w:rFonts w:ascii="Times New Roman" w:hAnsi="Times New Roman" w:cs="Times New Roman"/>
          <w:sz w:val="24"/>
          <w:szCs w:val="24"/>
        </w:rPr>
        <w:t>Kapitalnih investicija nemamo, a bilo kakve značajnije obnove financiraju se donacijama izvanproračunskih korisnika.</w:t>
      </w:r>
    </w:p>
    <w:p w14:paraId="0B92B334" w14:textId="0947BF4E" w:rsidR="004A4E59" w:rsidRPr="00320204" w:rsidRDefault="004A4E59" w:rsidP="000D6D2E">
      <w:pPr>
        <w:jc w:val="both"/>
        <w:rPr>
          <w:i/>
        </w:rPr>
      </w:pPr>
      <w:r w:rsidRPr="00761726">
        <w:rPr>
          <w:rFonts w:ascii="Times New Roman" w:hAnsi="Times New Roman" w:cs="Times New Roman"/>
          <w:sz w:val="24"/>
          <w:szCs w:val="24"/>
        </w:rPr>
        <w:t xml:space="preserve">Financijski plan ne odstupa značajnije od prošlogodišnjeg ni u prihodima ni </w:t>
      </w:r>
      <w:r w:rsidR="00761726">
        <w:rPr>
          <w:rFonts w:ascii="Times New Roman" w:hAnsi="Times New Roman" w:cs="Times New Roman"/>
          <w:sz w:val="24"/>
          <w:szCs w:val="24"/>
        </w:rPr>
        <w:t xml:space="preserve">u </w:t>
      </w:r>
      <w:r w:rsidRPr="00761726">
        <w:rPr>
          <w:rFonts w:ascii="Times New Roman" w:hAnsi="Times New Roman" w:cs="Times New Roman"/>
          <w:sz w:val="24"/>
          <w:szCs w:val="24"/>
        </w:rPr>
        <w:t>rashodima. Realno je prikazano što očekujemo u sljedećoj godini.</w:t>
      </w:r>
      <w:bookmarkEnd w:id="0"/>
    </w:p>
    <w:p w14:paraId="1EC34C7F" w14:textId="77777777" w:rsidR="00BB47B9" w:rsidRDefault="00BB47B9" w:rsidP="00BB47B9">
      <w:pPr>
        <w:jc w:val="both"/>
      </w:pPr>
    </w:p>
    <w:p w14:paraId="455A6D91" w14:textId="0AB52BE2" w:rsidR="00F815A6" w:rsidRPr="009D005B" w:rsidRDefault="00CD3BBE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A621004 Redovna djelatnost Sveučilišta u Splitu</w:t>
      </w:r>
    </w:p>
    <w:p w14:paraId="3DB129FF" w14:textId="77777777" w:rsidR="00761726" w:rsidRPr="009D721E" w:rsidRDefault="00761726" w:rsidP="0076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Zakonske i druge pravne osnove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A4F8FF" w14:textId="77777777" w:rsidR="00761726" w:rsidRPr="009D721E" w:rsidRDefault="00761726" w:rsidP="007617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491776"/>
      <w:r w:rsidRPr="009D721E">
        <w:rPr>
          <w:rFonts w:ascii="Times New Roman" w:hAnsi="Times New Roman" w:cs="Times New Roman"/>
          <w:sz w:val="24"/>
          <w:szCs w:val="24"/>
        </w:rPr>
        <w:t xml:space="preserve">Zakon o </w:t>
      </w:r>
      <w:r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9D721E">
        <w:rPr>
          <w:rFonts w:ascii="Times New Roman" w:hAnsi="Times New Roman" w:cs="Times New Roman"/>
          <w:sz w:val="24"/>
          <w:szCs w:val="24"/>
        </w:rPr>
        <w:t xml:space="preserve">znanstvenoj djelatnosti </w:t>
      </w:r>
    </w:p>
    <w:p w14:paraId="63F134E9" w14:textId="77777777" w:rsidR="00761726" w:rsidRPr="009D721E" w:rsidRDefault="00761726" w:rsidP="007617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14:paraId="3787CC86" w14:textId="77777777" w:rsidR="00761726" w:rsidRPr="00006A54" w:rsidRDefault="00761726" w:rsidP="007617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  <w:bookmarkEnd w:id="2"/>
    </w:p>
    <w:p w14:paraId="4235A7C9" w14:textId="6FBE1083" w:rsidR="001E1A7E" w:rsidRDefault="00761726" w:rsidP="00761726">
      <w:pPr>
        <w:pStyle w:val="Odlomakpopisa"/>
        <w:numPr>
          <w:ilvl w:val="0"/>
          <w:numId w:val="1"/>
        </w:numPr>
        <w:jc w:val="both"/>
        <w:rPr>
          <w:i/>
        </w:rPr>
      </w:pPr>
      <w:r w:rsidRPr="00006A54">
        <w:rPr>
          <w:rFonts w:ascii="Times New Roman" w:hAnsi="Times New Roman" w:cs="Times New Roman"/>
          <w:sz w:val="24"/>
          <w:szCs w:val="24"/>
        </w:rPr>
        <w:t>Kolektivni ugovor za znanost i visoko obrazovanje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1235"/>
        <w:gridCol w:w="1208"/>
        <w:gridCol w:w="1208"/>
        <w:gridCol w:w="1207"/>
        <w:gridCol w:w="1208"/>
      </w:tblGrid>
      <w:tr w:rsidR="00761726" w:rsidRPr="009D005B" w14:paraId="03FD3DA2" w14:textId="77777777" w:rsidTr="00C00422">
        <w:tc>
          <w:tcPr>
            <w:tcW w:w="1637" w:type="dxa"/>
            <w:shd w:val="clear" w:color="auto" w:fill="D0CECE" w:themeFill="background2" w:themeFillShade="E6"/>
          </w:tcPr>
          <w:p w14:paraId="0CF857A1" w14:textId="77777777" w:rsidR="00761726" w:rsidRPr="009D005B" w:rsidRDefault="00761726" w:rsidP="00761726">
            <w:pPr>
              <w:jc w:val="both"/>
            </w:pPr>
          </w:p>
          <w:p w14:paraId="2E4685E5" w14:textId="77777777" w:rsidR="00761726" w:rsidRPr="009D005B" w:rsidRDefault="00761726" w:rsidP="00761726">
            <w:pPr>
              <w:jc w:val="both"/>
            </w:pP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628B63D4" w14:textId="02BBF2C2" w:rsidR="00761726" w:rsidRPr="009D005B" w:rsidRDefault="00761726" w:rsidP="00761726">
            <w:pPr>
              <w:jc w:val="center"/>
            </w:pPr>
            <w:r>
              <w:t>Izvršenje 2024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18819A5A" w14:textId="0874D3DE" w:rsidR="00761726" w:rsidRPr="009D005B" w:rsidRDefault="00761726" w:rsidP="00761726">
            <w:pPr>
              <w:jc w:val="center"/>
            </w:pPr>
            <w:r w:rsidRPr="009D005B">
              <w:t>Plan 20</w:t>
            </w:r>
            <w:r>
              <w:t>24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3F0B3C79" w14:textId="079C0D5C" w:rsidR="00761726" w:rsidRPr="009D005B" w:rsidRDefault="00761726" w:rsidP="00761726">
            <w:pPr>
              <w:jc w:val="center"/>
            </w:pPr>
            <w:r w:rsidRPr="009D005B">
              <w:t>Plan 20</w:t>
            </w:r>
            <w:r>
              <w:t>25</w:t>
            </w:r>
            <w:r w:rsidRPr="009D005B"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14:paraId="2D1BB644" w14:textId="434D1620" w:rsidR="00761726" w:rsidRPr="009D005B" w:rsidRDefault="00761726" w:rsidP="00761726">
            <w:pPr>
              <w:jc w:val="center"/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6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1B2C0D0C" w14:textId="7F569E84" w:rsidR="00761726" w:rsidRPr="009D005B" w:rsidRDefault="00761726" w:rsidP="00761726">
            <w:pPr>
              <w:jc w:val="center"/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7</w:t>
            </w:r>
            <w:r w:rsidRPr="009D005B">
              <w:t>.</w:t>
            </w:r>
          </w:p>
        </w:tc>
      </w:tr>
      <w:tr w:rsidR="00761726" w:rsidRPr="009D005B" w14:paraId="35719CEF" w14:textId="77777777" w:rsidTr="00C00422">
        <w:tc>
          <w:tcPr>
            <w:tcW w:w="1637" w:type="dxa"/>
          </w:tcPr>
          <w:p w14:paraId="25323324" w14:textId="30226E23" w:rsidR="00761726" w:rsidRPr="009D005B" w:rsidRDefault="00761726" w:rsidP="00761726">
            <w:r>
              <w:t>A621004</w:t>
            </w:r>
          </w:p>
        </w:tc>
        <w:tc>
          <w:tcPr>
            <w:tcW w:w="1235" w:type="dxa"/>
          </w:tcPr>
          <w:p w14:paraId="11E0A3E7" w14:textId="62EE0653" w:rsidR="00761726" w:rsidRPr="009D005B" w:rsidRDefault="00761726" w:rsidP="00761726">
            <w:pPr>
              <w:jc w:val="both"/>
            </w:pPr>
            <w:r>
              <w:t>1.730.617</w:t>
            </w:r>
          </w:p>
        </w:tc>
        <w:tc>
          <w:tcPr>
            <w:tcW w:w="1208" w:type="dxa"/>
          </w:tcPr>
          <w:p w14:paraId="71FC94C1" w14:textId="0DE3E012" w:rsidR="00761726" w:rsidRPr="009D005B" w:rsidRDefault="00761726" w:rsidP="00761726">
            <w:pPr>
              <w:jc w:val="both"/>
            </w:pPr>
            <w:r>
              <w:t>1.643.433</w:t>
            </w:r>
          </w:p>
        </w:tc>
        <w:tc>
          <w:tcPr>
            <w:tcW w:w="1208" w:type="dxa"/>
          </w:tcPr>
          <w:p w14:paraId="01E3A707" w14:textId="222B7387" w:rsidR="00761726" w:rsidRPr="009D005B" w:rsidRDefault="00761726" w:rsidP="00761726">
            <w:pPr>
              <w:jc w:val="both"/>
            </w:pPr>
            <w:r>
              <w:t>1.807.593</w:t>
            </w:r>
          </w:p>
        </w:tc>
        <w:tc>
          <w:tcPr>
            <w:tcW w:w="1207" w:type="dxa"/>
          </w:tcPr>
          <w:p w14:paraId="158B7536" w14:textId="0EBD1D80" w:rsidR="00761726" w:rsidRPr="009D005B" w:rsidRDefault="00761726" w:rsidP="00761726">
            <w:pPr>
              <w:jc w:val="both"/>
            </w:pPr>
            <w:r>
              <w:t>1.825.290</w:t>
            </w:r>
          </w:p>
        </w:tc>
        <w:tc>
          <w:tcPr>
            <w:tcW w:w="1208" w:type="dxa"/>
          </w:tcPr>
          <w:p w14:paraId="221C5EE8" w14:textId="08216E6D" w:rsidR="00761726" w:rsidRPr="009D005B" w:rsidRDefault="00761726" w:rsidP="00761726">
            <w:pPr>
              <w:jc w:val="both"/>
            </w:pPr>
            <w:r>
              <w:t>1.825.290</w:t>
            </w:r>
          </w:p>
        </w:tc>
      </w:tr>
    </w:tbl>
    <w:p w14:paraId="450624EB" w14:textId="6982DB61" w:rsidR="001E1A7E" w:rsidRPr="001E1A7E" w:rsidRDefault="001E1A7E" w:rsidP="001E1A7E">
      <w:pPr>
        <w:jc w:val="both"/>
        <w:rPr>
          <w:i/>
        </w:rPr>
      </w:pPr>
    </w:p>
    <w:p w14:paraId="02696002" w14:textId="77777777" w:rsidR="00761726" w:rsidRPr="009D721E" w:rsidRDefault="00761726" w:rsidP="0076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D721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721E">
        <w:rPr>
          <w:rFonts w:ascii="Times New Roman" w:hAnsi="Times New Roman" w:cs="Times New Roman"/>
          <w:sz w:val="24"/>
          <w:szCs w:val="24"/>
        </w:rPr>
        <w:t>:</w:t>
      </w:r>
    </w:p>
    <w:p w14:paraId="1F94DD22" w14:textId="77777777" w:rsidR="00761726" w:rsidRPr="009D721E" w:rsidRDefault="00761726" w:rsidP="0076172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2CF421DE" w14:textId="77777777" w:rsidR="00761726" w:rsidRDefault="00761726" w:rsidP="0076172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lastRenderedPageBreak/>
        <w:t>Financiranja materijalnih prava zaposlenih</w:t>
      </w:r>
    </w:p>
    <w:p w14:paraId="2CC41B30" w14:textId="77777777" w:rsidR="00761726" w:rsidRPr="009D721E" w:rsidRDefault="00761726" w:rsidP="0076172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Financiranje sistematskih pregleda zaposlenika</w:t>
      </w:r>
    </w:p>
    <w:p w14:paraId="7A53DC99" w14:textId="77777777" w:rsidR="00761726" w:rsidRPr="009D721E" w:rsidRDefault="00761726" w:rsidP="0076172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Novčana naknada poslodavca zbog nezapošljavanja osoba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721E">
        <w:rPr>
          <w:rFonts w:ascii="Times New Roman" w:hAnsi="Times New Roman" w:cs="Times New Roman"/>
          <w:sz w:val="24"/>
          <w:szCs w:val="24"/>
        </w:rPr>
        <w:t xml:space="preserve"> invaliditetom</w:t>
      </w:r>
    </w:p>
    <w:p w14:paraId="6459F10B" w14:textId="2EB96358" w:rsidR="00E3117F" w:rsidRPr="00B737F0" w:rsidRDefault="00761726" w:rsidP="00E3117F">
      <w:pPr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 xml:space="preserve">Sve limite po pojedinim kategorijama: bruto plaće, doprinosi za obvezno zdravstveno osiguranje, naknade za prijevoz, sistematski pregledi, ostali rashodi za zaposlene te plaćanje naknade poslodavca zbog nezapošljavanje osoba sa invaliditetom dobili smo direktno od </w:t>
      </w:r>
      <w:r w:rsidRPr="00B737F0">
        <w:rPr>
          <w:rFonts w:ascii="Times New Roman" w:hAnsi="Times New Roman" w:cs="Times New Roman"/>
          <w:sz w:val="24"/>
          <w:szCs w:val="24"/>
        </w:rPr>
        <w:t>Sveučilišta u Splitu bez mogućnosti mijenjanja iako će iznos rashoda za bruto plaće vjerojatno biti veći.</w:t>
      </w:r>
      <w:r w:rsidR="005157A9" w:rsidRPr="00B737F0">
        <w:rPr>
          <w:rFonts w:ascii="Times New Roman" w:hAnsi="Times New Roman" w:cs="Times New Roman"/>
          <w:sz w:val="24"/>
          <w:szCs w:val="24"/>
        </w:rPr>
        <w:t xml:space="preserve"> </w:t>
      </w:r>
      <w:r w:rsidR="00B737F0">
        <w:rPr>
          <w:rFonts w:ascii="Times New Roman" w:hAnsi="Times New Roman" w:cs="Times New Roman"/>
          <w:sz w:val="24"/>
          <w:szCs w:val="24"/>
        </w:rPr>
        <w:t>Ova aktivnost provodi se svake godine</w:t>
      </w:r>
    </w:p>
    <w:p w14:paraId="16D7FA95" w14:textId="3D183299" w:rsidR="00E3117F" w:rsidRPr="00B737F0" w:rsidRDefault="005157A9" w:rsidP="00E3117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7F0">
        <w:rPr>
          <w:rFonts w:ascii="Times New Roman" w:hAnsi="Times New Roman" w:cs="Times New Roman"/>
          <w:iCs/>
          <w:sz w:val="24"/>
          <w:szCs w:val="24"/>
        </w:rPr>
        <w:t xml:space="preserve">Izračun financijskog plana: </w:t>
      </w:r>
    </w:p>
    <w:p w14:paraId="76DD278C" w14:textId="1409D9DE" w:rsidR="00B709C9" w:rsidRDefault="00E3117F" w:rsidP="00E3117F">
      <w:pPr>
        <w:spacing w:after="0"/>
        <w:jc w:val="both"/>
        <w:rPr>
          <w:i/>
          <w:iCs/>
        </w:rPr>
      </w:pPr>
      <w:r w:rsidRPr="00B737F0">
        <w:rPr>
          <w:rFonts w:ascii="Times New Roman" w:hAnsi="Times New Roman" w:cs="Times New Roman"/>
          <w:iCs/>
          <w:sz w:val="24"/>
          <w:szCs w:val="24"/>
        </w:rPr>
        <w:t>U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Pr="00B737F0">
        <w:rPr>
          <w:rFonts w:ascii="Times New Roman" w:hAnsi="Times New Roman" w:cs="Times New Roman"/>
          <w:iCs/>
          <w:sz w:val="24"/>
          <w:szCs w:val="24"/>
        </w:rPr>
        <w:t>5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>.</w:t>
      </w:r>
      <w:r w:rsidRPr="00B737F0">
        <w:rPr>
          <w:rFonts w:ascii="Times New Roman" w:hAnsi="Times New Roman" w:cs="Times New Roman"/>
          <w:iCs/>
          <w:sz w:val="24"/>
          <w:szCs w:val="24"/>
        </w:rPr>
        <w:t xml:space="preserve"> godini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planirana su sredstva u iznosu od 1.</w:t>
      </w:r>
      <w:r w:rsidRPr="00B737F0">
        <w:rPr>
          <w:rFonts w:ascii="Times New Roman" w:hAnsi="Times New Roman" w:cs="Times New Roman"/>
          <w:iCs/>
          <w:sz w:val="24"/>
          <w:szCs w:val="24"/>
        </w:rPr>
        <w:t>503</w:t>
      </w:r>
      <w:r w:rsidR="00A966B0" w:rsidRPr="00B737F0">
        <w:rPr>
          <w:rFonts w:ascii="Times New Roman" w:hAnsi="Times New Roman" w:cs="Times New Roman"/>
          <w:iCs/>
          <w:sz w:val="24"/>
          <w:szCs w:val="24"/>
        </w:rPr>
        <w:t>.</w:t>
      </w:r>
      <w:r w:rsidRPr="00B737F0">
        <w:rPr>
          <w:rFonts w:ascii="Times New Roman" w:hAnsi="Times New Roman" w:cs="Times New Roman"/>
          <w:iCs/>
          <w:sz w:val="24"/>
          <w:szCs w:val="24"/>
        </w:rPr>
        <w:t>438,00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B737F0">
        <w:rPr>
          <w:rFonts w:ascii="Times New Roman" w:hAnsi="Times New Roman" w:cs="Times New Roman"/>
          <w:iCs/>
          <w:sz w:val="24"/>
          <w:szCs w:val="24"/>
        </w:rPr>
        <w:t>a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za bruto plaće zaposlenika, </w:t>
      </w:r>
      <w:r w:rsidRPr="00B737F0">
        <w:rPr>
          <w:rFonts w:ascii="Times New Roman" w:hAnsi="Times New Roman" w:cs="Times New Roman"/>
          <w:iCs/>
          <w:sz w:val="24"/>
          <w:szCs w:val="24"/>
        </w:rPr>
        <w:t>30</w:t>
      </w:r>
      <w:r w:rsidR="00A966B0" w:rsidRPr="00B737F0">
        <w:rPr>
          <w:rFonts w:ascii="Times New Roman" w:hAnsi="Times New Roman" w:cs="Times New Roman"/>
          <w:iCs/>
          <w:sz w:val="24"/>
          <w:szCs w:val="24"/>
        </w:rPr>
        <w:t>.</w:t>
      </w:r>
      <w:r w:rsidRPr="00B737F0">
        <w:rPr>
          <w:rFonts w:ascii="Times New Roman" w:hAnsi="Times New Roman" w:cs="Times New Roman"/>
          <w:iCs/>
          <w:sz w:val="24"/>
          <w:szCs w:val="24"/>
        </w:rPr>
        <w:t>114,00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B737F0">
        <w:rPr>
          <w:rFonts w:ascii="Times New Roman" w:hAnsi="Times New Roman" w:cs="Times New Roman"/>
          <w:iCs/>
          <w:sz w:val="24"/>
          <w:szCs w:val="24"/>
        </w:rPr>
        <w:t>a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za ostale rashode za zaposlene, </w:t>
      </w:r>
      <w:r w:rsidRPr="00B737F0">
        <w:rPr>
          <w:rFonts w:ascii="Times New Roman" w:hAnsi="Times New Roman" w:cs="Times New Roman"/>
          <w:iCs/>
          <w:sz w:val="24"/>
          <w:szCs w:val="24"/>
        </w:rPr>
        <w:t>245.238,00 eura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za doprinose za zdravstveno osiguranje, </w:t>
      </w:r>
      <w:r w:rsidRPr="00B737F0">
        <w:rPr>
          <w:rFonts w:ascii="Times New Roman" w:hAnsi="Times New Roman" w:cs="Times New Roman"/>
          <w:iCs/>
          <w:sz w:val="24"/>
          <w:szCs w:val="24"/>
        </w:rPr>
        <w:t>23.087,00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B737F0">
        <w:rPr>
          <w:rFonts w:ascii="Times New Roman" w:hAnsi="Times New Roman" w:cs="Times New Roman"/>
          <w:iCs/>
          <w:sz w:val="24"/>
          <w:szCs w:val="24"/>
        </w:rPr>
        <w:t>a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za naknade za prijevoz, 2.</w:t>
      </w:r>
      <w:r w:rsidRPr="00B737F0">
        <w:rPr>
          <w:rFonts w:ascii="Times New Roman" w:hAnsi="Times New Roman" w:cs="Times New Roman"/>
          <w:iCs/>
          <w:sz w:val="24"/>
          <w:szCs w:val="24"/>
        </w:rPr>
        <w:t>962,00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B737F0">
        <w:rPr>
          <w:rFonts w:ascii="Times New Roman" w:hAnsi="Times New Roman" w:cs="Times New Roman"/>
          <w:iCs/>
          <w:sz w:val="24"/>
          <w:szCs w:val="24"/>
        </w:rPr>
        <w:t>a</w:t>
      </w:r>
      <w:r w:rsidR="00326B90" w:rsidRPr="00B737F0">
        <w:rPr>
          <w:rFonts w:ascii="Times New Roman" w:hAnsi="Times New Roman" w:cs="Times New Roman"/>
          <w:iCs/>
          <w:sz w:val="24"/>
          <w:szCs w:val="24"/>
        </w:rPr>
        <w:t xml:space="preserve"> za </w:t>
      </w:r>
      <w:r w:rsidR="00DE4201" w:rsidRPr="00B737F0">
        <w:rPr>
          <w:rFonts w:ascii="Times New Roman" w:hAnsi="Times New Roman" w:cs="Times New Roman"/>
          <w:iCs/>
          <w:sz w:val="24"/>
          <w:szCs w:val="24"/>
        </w:rPr>
        <w:t>sistematske preglede i 2.</w:t>
      </w:r>
      <w:r w:rsidRPr="00B737F0">
        <w:rPr>
          <w:rFonts w:ascii="Times New Roman" w:hAnsi="Times New Roman" w:cs="Times New Roman"/>
          <w:iCs/>
          <w:sz w:val="24"/>
          <w:szCs w:val="24"/>
        </w:rPr>
        <w:t>724,00 eura</w:t>
      </w:r>
      <w:r w:rsidR="00DE4201" w:rsidRPr="00B737F0">
        <w:rPr>
          <w:rFonts w:ascii="Times New Roman" w:hAnsi="Times New Roman" w:cs="Times New Roman"/>
          <w:iCs/>
          <w:sz w:val="24"/>
          <w:szCs w:val="24"/>
        </w:rPr>
        <w:t xml:space="preserve"> za naknadu za nezapošljavanje invalida, sveukupno: </w:t>
      </w:r>
      <w:r w:rsidRPr="00B737F0">
        <w:rPr>
          <w:rFonts w:ascii="Times New Roman" w:hAnsi="Times New Roman" w:cs="Times New Roman"/>
          <w:iCs/>
          <w:sz w:val="24"/>
          <w:szCs w:val="24"/>
        </w:rPr>
        <w:t>1.807.593,00</w:t>
      </w:r>
      <w:r w:rsidR="00DE4201" w:rsidRPr="00B737F0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B737F0">
        <w:rPr>
          <w:rFonts w:ascii="Times New Roman" w:hAnsi="Times New Roman" w:cs="Times New Roman"/>
          <w:iCs/>
          <w:sz w:val="24"/>
          <w:szCs w:val="24"/>
        </w:rPr>
        <w:t>a</w:t>
      </w:r>
      <w:r w:rsidR="00A966B0" w:rsidRPr="00B737F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F7DDE8" w14:textId="77777777" w:rsidR="00E3117F" w:rsidRPr="00E3117F" w:rsidRDefault="00E3117F" w:rsidP="00E3117F">
      <w:pPr>
        <w:spacing w:after="0"/>
        <w:jc w:val="both"/>
        <w:rPr>
          <w:i/>
          <w:iCs/>
        </w:rPr>
      </w:pPr>
    </w:p>
    <w:p w14:paraId="2A020D45" w14:textId="11643C28" w:rsidR="00B62F57" w:rsidRPr="009D005B" w:rsidRDefault="00B62F57" w:rsidP="00B62F5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A622122 Programsko financiranje javnih visokih učilišta</w:t>
      </w:r>
    </w:p>
    <w:p w14:paraId="46B23493" w14:textId="77777777" w:rsidR="00CA5C35" w:rsidRPr="00A11688" w:rsidRDefault="00CA5C35" w:rsidP="00CA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Zakonske i druge pravne osnove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97D055" w14:textId="77777777" w:rsidR="00CA5C35" w:rsidRDefault="00CA5C35" w:rsidP="00CA5C3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19598372" w14:textId="7CCD22B3" w:rsidR="00065B6C" w:rsidRPr="00CE2D8E" w:rsidRDefault="00CA5C35" w:rsidP="00CA5C35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A11688">
        <w:rPr>
          <w:rFonts w:ascii="Times New Roman" w:hAnsi="Times New Roman" w:cs="Times New Roman"/>
          <w:sz w:val="24"/>
          <w:szCs w:val="24"/>
        </w:rPr>
        <w:t>Uredba o programskom financiranju javnih visokih učilišta i javnih znanstvenih instituta u Republici Hrvatskoj</w:t>
      </w:r>
    </w:p>
    <w:p w14:paraId="64B92476" w14:textId="28AB2B1A" w:rsidR="00CE2D8E" w:rsidRPr="00CE2D8E" w:rsidRDefault="00CE2D8E" w:rsidP="00CA5C35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C7623F">
        <w:rPr>
          <w:rFonts w:ascii="Times New Roman" w:hAnsi="Times New Roman" w:cs="Times New Roman"/>
          <w:sz w:val="24"/>
          <w:szCs w:val="24"/>
        </w:rPr>
        <w:t>Odluka Ministarstva znanosti i obrazovanja o financiranju javnih visokih učilišta u RH u akademskoj godini 2024./2025.</w:t>
      </w:r>
    </w:p>
    <w:p w14:paraId="49A1434F" w14:textId="56D75207" w:rsidR="00CE2D8E" w:rsidRPr="00065B6C" w:rsidRDefault="00CE2D8E" w:rsidP="00CA5C35">
      <w:pPr>
        <w:pStyle w:val="Odlomakpopisa"/>
        <w:numPr>
          <w:ilvl w:val="0"/>
          <w:numId w:val="4"/>
        </w:numPr>
        <w:spacing w:after="0"/>
        <w:jc w:val="both"/>
        <w:rPr>
          <w:i/>
        </w:rPr>
      </w:pPr>
      <w:r w:rsidRPr="00C7623F">
        <w:rPr>
          <w:rFonts w:ascii="Times New Roman" w:hAnsi="Times New Roman" w:cs="Times New Roman"/>
          <w:sz w:val="24"/>
          <w:szCs w:val="24"/>
        </w:rPr>
        <w:t>Zakon o osigura</w:t>
      </w:r>
      <w:r>
        <w:rPr>
          <w:rFonts w:ascii="Times New Roman" w:hAnsi="Times New Roman" w:cs="Times New Roman"/>
          <w:sz w:val="24"/>
          <w:szCs w:val="24"/>
        </w:rPr>
        <w:t xml:space="preserve">vanju </w:t>
      </w:r>
      <w:r w:rsidRPr="00C7623F">
        <w:rPr>
          <w:rFonts w:ascii="Times New Roman" w:hAnsi="Times New Roman" w:cs="Times New Roman"/>
          <w:sz w:val="24"/>
          <w:szCs w:val="24"/>
        </w:rPr>
        <w:t xml:space="preserve"> kvalitete 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7623F">
        <w:rPr>
          <w:rFonts w:ascii="Times New Roman" w:hAnsi="Times New Roman" w:cs="Times New Roman"/>
          <w:sz w:val="24"/>
          <w:szCs w:val="24"/>
        </w:rPr>
        <w:t>isokom obrazovanju</w:t>
      </w:r>
      <w:r>
        <w:rPr>
          <w:rFonts w:ascii="Times New Roman" w:hAnsi="Times New Roman" w:cs="Times New Roman"/>
          <w:sz w:val="24"/>
          <w:szCs w:val="24"/>
        </w:rPr>
        <w:t xml:space="preserve"> i znanosti</w:t>
      </w:r>
    </w:p>
    <w:p w14:paraId="7A181955" w14:textId="75D30289" w:rsidR="006B1F20" w:rsidRDefault="006B1F20" w:rsidP="00F815A6">
      <w:pPr>
        <w:spacing w:after="0"/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123"/>
        <w:gridCol w:w="1287"/>
        <w:gridCol w:w="1418"/>
        <w:gridCol w:w="1275"/>
        <w:gridCol w:w="1202"/>
        <w:gridCol w:w="9"/>
      </w:tblGrid>
      <w:tr w:rsidR="001B75A8" w:rsidRPr="0099197E" w14:paraId="025FFF85" w14:textId="77777777" w:rsidTr="00A75B4F">
        <w:tc>
          <w:tcPr>
            <w:tcW w:w="1696" w:type="dxa"/>
            <w:shd w:val="clear" w:color="auto" w:fill="D0CECE" w:themeFill="background2" w:themeFillShade="E6"/>
          </w:tcPr>
          <w:p w14:paraId="6BE42EA0" w14:textId="77777777" w:rsidR="001B75A8" w:rsidRPr="0099197E" w:rsidRDefault="001B75A8" w:rsidP="001B7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BDDA11E" w14:textId="77777777" w:rsidR="001B75A8" w:rsidRPr="0099197E" w:rsidRDefault="001B75A8" w:rsidP="001B7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707AD270" w14:textId="705C3370" w:rsidR="001B75A8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Izvršenje 2024</w:t>
            </w:r>
            <w:r w:rsidRPr="009D005B">
              <w:t>.</w:t>
            </w:r>
          </w:p>
        </w:tc>
        <w:tc>
          <w:tcPr>
            <w:tcW w:w="1287" w:type="dxa"/>
            <w:shd w:val="clear" w:color="auto" w:fill="D0CECE" w:themeFill="background2" w:themeFillShade="E6"/>
            <w:vAlign w:val="center"/>
          </w:tcPr>
          <w:p w14:paraId="32E80B06" w14:textId="34887482" w:rsidR="001B75A8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24</w:t>
            </w:r>
            <w:r w:rsidRPr="009D005B"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AFBB43C" w14:textId="4B02750C" w:rsidR="001B75A8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25</w:t>
            </w:r>
            <w:r w:rsidRPr="009D005B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53E071C" w14:textId="1B4B6D5C" w:rsidR="001B75A8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6</w:t>
            </w:r>
            <w:r w:rsidRPr="009D005B">
              <w:t>.</w:t>
            </w:r>
          </w:p>
        </w:tc>
        <w:tc>
          <w:tcPr>
            <w:tcW w:w="1211" w:type="dxa"/>
            <w:gridSpan w:val="2"/>
            <w:shd w:val="clear" w:color="auto" w:fill="D0CECE" w:themeFill="background2" w:themeFillShade="E6"/>
            <w:vAlign w:val="center"/>
          </w:tcPr>
          <w:p w14:paraId="67A3A88B" w14:textId="37AF1932" w:rsidR="001B75A8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7</w:t>
            </w:r>
            <w:r w:rsidRPr="009D005B">
              <w:t>.</w:t>
            </w:r>
          </w:p>
        </w:tc>
      </w:tr>
      <w:tr w:rsidR="00E925A6" w:rsidRPr="0099197E" w14:paraId="595CB4C3" w14:textId="77777777" w:rsidTr="00A75B4F">
        <w:trPr>
          <w:gridAfter w:val="1"/>
          <w:wAfter w:w="9" w:type="dxa"/>
        </w:trPr>
        <w:tc>
          <w:tcPr>
            <w:tcW w:w="1696" w:type="dxa"/>
          </w:tcPr>
          <w:p w14:paraId="37DA3FFF" w14:textId="77777777" w:rsidR="00E925A6" w:rsidRPr="0099197E" w:rsidRDefault="00E925A6" w:rsidP="0099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A622122</w:t>
            </w:r>
          </w:p>
          <w:p w14:paraId="4AD5F9B2" w14:textId="77777777" w:rsidR="00E925A6" w:rsidRPr="0099197E" w:rsidRDefault="00E925A6" w:rsidP="0099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19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Programsko financiranje javnih visokih učilišta </w:t>
            </w:r>
          </w:p>
        </w:tc>
        <w:tc>
          <w:tcPr>
            <w:tcW w:w="1123" w:type="dxa"/>
            <w:shd w:val="clear" w:color="auto" w:fill="auto"/>
          </w:tcPr>
          <w:p w14:paraId="2EEB521B" w14:textId="77777777" w:rsidR="001B75A8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DD90D44" w14:textId="14B998B9" w:rsidR="00E925A6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72.189</w:t>
            </w:r>
          </w:p>
        </w:tc>
        <w:tc>
          <w:tcPr>
            <w:tcW w:w="1287" w:type="dxa"/>
          </w:tcPr>
          <w:p w14:paraId="78E98771" w14:textId="77777777" w:rsidR="001B75A8" w:rsidRDefault="001B75A8" w:rsidP="00F6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4F4A3F" w14:textId="7B1F400F" w:rsidR="00E925A6" w:rsidRPr="0099197E" w:rsidRDefault="001B75A8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77.895</w:t>
            </w:r>
          </w:p>
        </w:tc>
        <w:tc>
          <w:tcPr>
            <w:tcW w:w="1418" w:type="dxa"/>
          </w:tcPr>
          <w:p w14:paraId="759EF691" w14:textId="77777777" w:rsidR="001B75A8" w:rsidRDefault="001B75A8" w:rsidP="0099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E02D2E" w14:textId="31FDEDF7" w:rsidR="00E925A6" w:rsidRPr="0099197E" w:rsidRDefault="00A75B4F" w:rsidP="001B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65.159</w:t>
            </w:r>
          </w:p>
        </w:tc>
        <w:tc>
          <w:tcPr>
            <w:tcW w:w="1275" w:type="dxa"/>
          </w:tcPr>
          <w:p w14:paraId="5C9BEFA8" w14:textId="77777777" w:rsidR="001B75A8" w:rsidRDefault="001B75A8" w:rsidP="0099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731EC78" w14:textId="6E6610B5" w:rsidR="00E925A6" w:rsidRPr="0099197E" w:rsidRDefault="00A75B4F" w:rsidP="0099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65.159</w:t>
            </w:r>
          </w:p>
        </w:tc>
        <w:tc>
          <w:tcPr>
            <w:tcW w:w="1202" w:type="dxa"/>
          </w:tcPr>
          <w:p w14:paraId="44200D8C" w14:textId="77777777" w:rsidR="00E925A6" w:rsidRDefault="00E925A6" w:rsidP="0099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497842" w14:textId="3F5C7B3D" w:rsidR="001B75A8" w:rsidRPr="0099197E" w:rsidRDefault="001B75A8" w:rsidP="0099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65.159</w:t>
            </w:r>
          </w:p>
        </w:tc>
      </w:tr>
    </w:tbl>
    <w:p w14:paraId="58A53850" w14:textId="556E3199" w:rsidR="00CD3BBE" w:rsidRPr="001B75A8" w:rsidRDefault="00CD3BBE" w:rsidP="001B75A8">
      <w:pPr>
        <w:spacing w:after="0"/>
        <w:jc w:val="both"/>
        <w:rPr>
          <w:i/>
        </w:rPr>
      </w:pPr>
    </w:p>
    <w:p w14:paraId="440734A8" w14:textId="4677F770" w:rsidR="00271A50" w:rsidRDefault="005207D0" w:rsidP="00520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>Ova aktivnost provodi</w:t>
      </w:r>
      <w:r w:rsidR="001B75A8">
        <w:rPr>
          <w:rFonts w:ascii="Times New Roman" w:hAnsi="Times New Roman" w:cs="Times New Roman"/>
          <w:sz w:val="24"/>
          <w:szCs w:val="24"/>
        </w:rPr>
        <w:t xml:space="preserve"> se svake </w:t>
      </w:r>
      <w:r w:rsidRPr="001B75A8">
        <w:rPr>
          <w:rFonts w:ascii="Times New Roman" w:hAnsi="Times New Roman" w:cs="Times New Roman"/>
          <w:sz w:val="24"/>
          <w:szCs w:val="24"/>
        </w:rPr>
        <w:t>godine</w:t>
      </w:r>
      <w:r w:rsidR="001B75A8">
        <w:rPr>
          <w:rFonts w:ascii="Times New Roman" w:hAnsi="Times New Roman" w:cs="Times New Roman"/>
          <w:sz w:val="24"/>
          <w:szCs w:val="24"/>
        </w:rPr>
        <w:t>.</w:t>
      </w:r>
      <w:r w:rsidRPr="001B7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6ED0C" w14:textId="77777777" w:rsidR="00CE2D8E" w:rsidRDefault="00CE2D8E" w:rsidP="00CE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23F">
        <w:rPr>
          <w:rFonts w:ascii="Times New Roman" w:hAnsi="Times New Roman" w:cs="Times New Roman"/>
          <w:sz w:val="24"/>
          <w:szCs w:val="24"/>
        </w:rPr>
        <w:t xml:space="preserve">Ova aktivnost sastoji se od sljedećih elemenata: </w:t>
      </w:r>
    </w:p>
    <w:p w14:paraId="1CF97157" w14:textId="1F42B761" w:rsidR="00CE2D8E" w:rsidRPr="00CE2D8E" w:rsidRDefault="00CE2D8E" w:rsidP="00CE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CE2D8E">
        <w:rPr>
          <w:rFonts w:ascii="Times New Roman" w:hAnsi="Times New Roman" w:cs="Times New Roman"/>
          <w:sz w:val="24"/>
          <w:szCs w:val="24"/>
        </w:rPr>
        <w:t>rocjen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2D8E">
        <w:rPr>
          <w:rFonts w:ascii="Times New Roman" w:hAnsi="Times New Roman" w:cs="Times New Roman"/>
          <w:sz w:val="24"/>
          <w:szCs w:val="24"/>
        </w:rPr>
        <w:t xml:space="preserve"> financiranja nastavne djelatnosti</w:t>
      </w:r>
      <w:r>
        <w:rPr>
          <w:rFonts w:ascii="Times New Roman" w:hAnsi="Times New Roman" w:cs="Times New Roman"/>
          <w:sz w:val="24"/>
          <w:szCs w:val="24"/>
        </w:rPr>
        <w:t xml:space="preserve"> u iznosu od 40.225 eura </w:t>
      </w:r>
      <w:r w:rsidRPr="00CE2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C5E94" w14:textId="7110F900" w:rsidR="00CE2D8E" w:rsidRPr="001B75A8" w:rsidRDefault="00CE2D8E" w:rsidP="00CE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C7623F">
        <w:rPr>
          <w:rFonts w:ascii="Times New Roman" w:hAnsi="Times New Roman" w:cs="Times New Roman"/>
          <w:sz w:val="24"/>
          <w:szCs w:val="24"/>
        </w:rPr>
        <w:t>rocjen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623F">
        <w:rPr>
          <w:rFonts w:ascii="Times New Roman" w:hAnsi="Times New Roman" w:cs="Times New Roman"/>
          <w:sz w:val="24"/>
          <w:szCs w:val="24"/>
        </w:rPr>
        <w:t xml:space="preserve"> financiranja znanstvene i umjetničke djelatnosti</w:t>
      </w:r>
      <w:r>
        <w:rPr>
          <w:rFonts w:ascii="Times New Roman" w:hAnsi="Times New Roman" w:cs="Times New Roman"/>
          <w:sz w:val="24"/>
          <w:szCs w:val="24"/>
        </w:rPr>
        <w:t xml:space="preserve"> u iznosu od 24.934 eura</w:t>
      </w:r>
    </w:p>
    <w:p w14:paraId="5D864AFA" w14:textId="320AB92E" w:rsidR="00520FA8" w:rsidRPr="001B75A8" w:rsidRDefault="00271A50" w:rsidP="00CE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 xml:space="preserve">U razdoblju provedbe programskih ugovora očekuje se ostvarenje </w:t>
      </w:r>
      <w:r w:rsidR="00FD066B" w:rsidRPr="001B75A8">
        <w:rPr>
          <w:rFonts w:ascii="Times New Roman" w:hAnsi="Times New Roman" w:cs="Times New Roman"/>
          <w:sz w:val="24"/>
          <w:szCs w:val="24"/>
        </w:rPr>
        <w:t xml:space="preserve">znanstvenog napretka u humanističkom području osobito u provedbi stručnih i znanstvenih projekata, </w:t>
      </w:r>
      <w:r w:rsidR="00520FA8" w:rsidRPr="001B75A8">
        <w:rPr>
          <w:rFonts w:ascii="Times New Roman" w:hAnsi="Times New Roman" w:cs="Times New Roman"/>
          <w:sz w:val="24"/>
          <w:szCs w:val="24"/>
        </w:rPr>
        <w:t>organizirati više međunarodnih znanstvenih skupova, a sve u skladu s realizacijom utvrđenih ciljeva programskog financiranja:</w:t>
      </w:r>
    </w:p>
    <w:p w14:paraId="03F72F4B" w14:textId="77777777" w:rsidR="00520FA8" w:rsidRPr="001B75A8" w:rsidRDefault="00520FA8" w:rsidP="00CE2D8E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14:paraId="3CDDF4E3" w14:textId="77777777" w:rsidR="00520FA8" w:rsidRPr="001B75A8" w:rsidRDefault="00520FA8" w:rsidP="00CE2D8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14:paraId="2A087B7D" w14:textId="77777777" w:rsidR="00520FA8" w:rsidRPr="001B75A8" w:rsidRDefault="00520FA8" w:rsidP="00CE2D8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14:paraId="22675046" w14:textId="227627C7" w:rsidR="00271A50" w:rsidRPr="001B75A8" w:rsidRDefault="00271A50" w:rsidP="00520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A9F58" w14:textId="71A0F6BC" w:rsidR="00520FA8" w:rsidRPr="001B75A8" w:rsidRDefault="00B709C9" w:rsidP="00520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lastRenderedPageBreak/>
        <w:t xml:space="preserve">Izračun financijskog plana: </w:t>
      </w:r>
    </w:p>
    <w:p w14:paraId="47268D92" w14:textId="5AEEFC7F" w:rsidR="00B709C9" w:rsidRDefault="00B709C9" w:rsidP="00520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 xml:space="preserve">Iznos za programsko financiranje dobiven je direktno od Sveučilišta i ne možemo utjecati na njega. Iznos je izračunat tako da je Sveučilište sukladno programskim ugovorima raspodijelilo limite po svim sastavnicama. </w:t>
      </w:r>
      <w:r w:rsidR="00141F36" w:rsidRPr="00C7623F">
        <w:rPr>
          <w:rFonts w:ascii="Times New Roman" w:hAnsi="Times New Roman" w:cs="Times New Roman"/>
          <w:sz w:val="24"/>
          <w:szCs w:val="24"/>
        </w:rPr>
        <w:t>Sredstva programskog financiranja javnih visokih učilišta odnose se na punu subvenciju participacije redovitih studenata u troškovima studija</w:t>
      </w:r>
      <w:r w:rsidR="00141F36">
        <w:rPr>
          <w:rFonts w:ascii="Times New Roman" w:hAnsi="Times New Roman" w:cs="Times New Roman"/>
          <w:sz w:val="24"/>
          <w:szCs w:val="24"/>
        </w:rPr>
        <w:t xml:space="preserve"> koji ispunjavaju uvjete za oslobođenje od participacije u troškovima studija.</w:t>
      </w:r>
      <w:r w:rsidR="00141F36" w:rsidRPr="00C7623F">
        <w:rPr>
          <w:rFonts w:ascii="Times New Roman" w:hAnsi="Times New Roman" w:cs="Times New Roman"/>
          <w:sz w:val="24"/>
          <w:szCs w:val="24"/>
        </w:rPr>
        <w:t xml:space="preserve"> Sredstva se koriste za pokriće materijalnih troškova fakulteta, tekuće i investicijsko održavanje, nabava </w:t>
      </w:r>
      <w:r w:rsidR="00141F36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="00141F36" w:rsidRPr="00C7623F">
        <w:rPr>
          <w:rFonts w:ascii="Times New Roman" w:hAnsi="Times New Roman" w:cs="Times New Roman"/>
          <w:sz w:val="24"/>
          <w:szCs w:val="24"/>
        </w:rPr>
        <w:t>za rad nastavne djelatnosti i nabava knjižnične građe.</w:t>
      </w:r>
    </w:p>
    <w:p w14:paraId="1D5969DB" w14:textId="77777777" w:rsidR="00F77E40" w:rsidRDefault="00F77E40" w:rsidP="005207D0">
      <w:pPr>
        <w:spacing w:after="0"/>
        <w:jc w:val="both"/>
        <w:rPr>
          <w:i/>
        </w:rPr>
      </w:pPr>
    </w:p>
    <w:tbl>
      <w:tblPr>
        <w:tblStyle w:val="Reetkatablice"/>
        <w:tblpPr w:leftFromText="180" w:rightFromText="180" w:vertAnchor="page" w:horzAnchor="margin" w:tblpY="3695"/>
        <w:tblW w:w="8855" w:type="dxa"/>
        <w:tblLook w:val="04A0" w:firstRow="1" w:lastRow="0" w:firstColumn="1" w:lastColumn="0" w:noHBand="0" w:noVBand="1"/>
      </w:tblPr>
      <w:tblGrid>
        <w:gridCol w:w="1376"/>
        <w:gridCol w:w="1283"/>
        <w:gridCol w:w="1037"/>
        <w:gridCol w:w="954"/>
        <w:gridCol w:w="1550"/>
        <w:gridCol w:w="954"/>
        <w:gridCol w:w="954"/>
        <w:gridCol w:w="954"/>
      </w:tblGrid>
      <w:tr w:rsidR="00F77E40" w:rsidRPr="004B4E3D" w14:paraId="52671AE5" w14:textId="77777777" w:rsidTr="00F77E40">
        <w:trPr>
          <w:trHeight w:val="765"/>
        </w:trPr>
        <w:tc>
          <w:tcPr>
            <w:tcW w:w="1472" w:type="dxa"/>
            <w:hideMark/>
          </w:tcPr>
          <w:p w14:paraId="3F9E44DF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Pokazatelj rezultata</w:t>
            </w:r>
          </w:p>
        </w:tc>
        <w:tc>
          <w:tcPr>
            <w:tcW w:w="1383" w:type="dxa"/>
            <w:hideMark/>
          </w:tcPr>
          <w:p w14:paraId="35C4EDEA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Definicija</w:t>
            </w:r>
          </w:p>
        </w:tc>
        <w:tc>
          <w:tcPr>
            <w:tcW w:w="1105" w:type="dxa"/>
            <w:hideMark/>
          </w:tcPr>
          <w:p w14:paraId="5EE7E7BF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Jedinica</w:t>
            </w:r>
          </w:p>
        </w:tc>
        <w:tc>
          <w:tcPr>
            <w:tcW w:w="1016" w:type="dxa"/>
            <w:hideMark/>
          </w:tcPr>
          <w:p w14:paraId="01B27E01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Polazna vrijednost</w:t>
            </w:r>
          </w:p>
        </w:tc>
        <w:tc>
          <w:tcPr>
            <w:tcW w:w="831" w:type="dxa"/>
            <w:hideMark/>
          </w:tcPr>
          <w:p w14:paraId="3798AA41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Izvor podataka</w:t>
            </w:r>
          </w:p>
        </w:tc>
        <w:tc>
          <w:tcPr>
            <w:tcW w:w="1016" w:type="dxa"/>
            <w:hideMark/>
          </w:tcPr>
          <w:p w14:paraId="76C85AC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2025.</w:t>
            </w:r>
          </w:p>
        </w:tc>
        <w:tc>
          <w:tcPr>
            <w:tcW w:w="1016" w:type="dxa"/>
            <w:hideMark/>
          </w:tcPr>
          <w:p w14:paraId="7F505D7C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2026.</w:t>
            </w:r>
          </w:p>
        </w:tc>
        <w:tc>
          <w:tcPr>
            <w:tcW w:w="1016" w:type="dxa"/>
            <w:hideMark/>
          </w:tcPr>
          <w:p w14:paraId="491F575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2027.</w:t>
            </w:r>
          </w:p>
        </w:tc>
      </w:tr>
      <w:tr w:rsidR="00F77E40" w:rsidRPr="00CA2C58" w14:paraId="6B005A5D" w14:textId="77777777" w:rsidTr="00F77E40">
        <w:trPr>
          <w:trHeight w:val="1487"/>
        </w:trPr>
        <w:tc>
          <w:tcPr>
            <w:tcW w:w="1472" w:type="dxa"/>
            <w:hideMark/>
          </w:tcPr>
          <w:p w14:paraId="587F9F0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Broj studenata</w:t>
            </w:r>
          </w:p>
        </w:tc>
        <w:tc>
          <w:tcPr>
            <w:tcW w:w="1383" w:type="dxa"/>
            <w:hideMark/>
          </w:tcPr>
          <w:p w14:paraId="3305AA16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Udio dolaznih međunarodnih studenata (dolazna mobilnost studenata)</w:t>
            </w:r>
          </w:p>
        </w:tc>
        <w:tc>
          <w:tcPr>
            <w:tcW w:w="1105" w:type="dxa"/>
            <w:hideMark/>
          </w:tcPr>
          <w:p w14:paraId="7B5AEB33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student</w:t>
            </w:r>
          </w:p>
        </w:tc>
        <w:tc>
          <w:tcPr>
            <w:tcW w:w="1016" w:type="dxa"/>
            <w:hideMark/>
          </w:tcPr>
          <w:p w14:paraId="69FE023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2</w:t>
            </w:r>
          </w:p>
        </w:tc>
        <w:tc>
          <w:tcPr>
            <w:tcW w:w="831" w:type="dxa"/>
            <w:hideMark/>
          </w:tcPr>
          <w:p w14:paraId="50A87144" w14:textId="77777777" w:rsidR="00F77E40" w:rsidRPr="00F77E40" w:rsidRDefault="00F77E40" w:rsidP="00F77E40">
            <w:pPr>
              <w:ind w:right="1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Fakultet/ured za međunarodnu suradnju</w:t>
            </w:r>
          </w:p>
        </w:tc>
        <w:tc>
          <w:tcPr>
            <w:tcW w:w="1016" w:type="dxa"/>
            <w:hideMark/>
          </w:tcPr>
          <w:p w14:paraId="690E23C1" w14:textId="28E91AC9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4</w:t>
            </w:r>
          </w:p>
        </w:tc>
        <w:tc>
          <w:tcPr>
            <w:tcW w:w="1016" w:type="dxa"/>
            <w:hideMark/>
          </w:tcPr>
          <w:p w14:paraId="5E7E8C16" w14:textId="39125F7C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4</w:t>
            </w:r>
          </w:p>
        </w:tc>
        <w:tc>
          <w:tcPr>
            <w:tcW w:w="1016" w:type="dxa"/>
            <w:hideMark/>
          </w:tcPr>
          <w:p w14:paraId="37D11431" w14:textId="5F7AAEC6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4</w:t>
            </w:r>
          </w:p>
        </w:tc>
      </w:tr>
      <w:tr w:rsidR="00F77E40" w:rsidRPr="00CA2C58" w14:paraId="5E77DF9A" w14:textId="77777777" w:rsidTr="00F77E40">
        <w:trPr>
          <w:trHeight w:val="1376"/>
        </w:trPr>
        <w:tc>
          <w:tcPr>
            <w:tcW w:w="1472" w:type="dxa"/>
            <w:hideMark/>
          </w:tcPr>
          <w:p w14:paraId="07979554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Broj znanstvenih autorskih knjiga s međunarodnom recenzijom</w:t>
            </w:r>
          </w:p>
        </w:tc>
        <w:tc>
          <w:tcPr>
            <w:tcW w:w="1383" w:type="dxa"/>
            <w:hideMark/>
          </w:tcPr>
          <w:p w14:paraId="5D486E96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Povećanje broja znanstvenih autorskih knjiga</w:t>
            </w:r>
          </w:p>
        </w:tc>
        <w:tc>
          <w:tcPr>
            <w:tcW w:w="1105" w:type="dxa"/>
            <w:hideMark/>
          </w:tcPr>
          <w:p w14:paraId="3EC75DBD" w14:textId="77777777" w:rsidR="00F77E40" w:rsidRPr="00F77E40" w:rsidRDefault="00F77E40" w:rsidP="00F77E40">
            <w:pPr>
              <w:ind w:right="-9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znanstvena autorska knjiga</w:t>
            </w:r>
          </w:p>
        </w:tc>
        <w:tc>
          <w:tcPr>
            <w:tcW w:w="1016" w:type="dxa"/>
            <w:hideMark/>
          </w:tcPr>
          <w:p w14:paraId="0163EF0F" w14:textId="539CF793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6</w:t>
            </w:r>
          </w:p>
        </w:tc>
        <w:tc>
          <w:tcPr>
            <w:tcW w:w="831" w:type="dxa"/>
            <w:hideMark/>
          </w:tcPr>
          <w:p w14:paraId="71D6CC4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Fakultet/knjižnica</w:t>
            </w:r>
          </w:p>
        </w:tc>
        <w:tc>
          <w:tcPr>
            <w:tcW w:w="1016" w:type="dxa"/>
            <w:hideMark/>
          </w:tcPr>
          <w:p w14:paraId="58683BC7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6</w:t>
            </w:r>
          </w:p>
        </w:tc>
        <w:tc>
          <w:tcPr>
            <w:tcW w:w="1016" w:type="dxa"/>
            <w:hideMark/>
          </w:tcPr>
          <w:p w14:paraId="31CA2147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7</w:t>
            </w:r>
          </w:p>
        </w:tc>
        <w:tc>
          <w:tcPr>
            <w:tcW w:w="1016" w:type="dxa"/>
            <w:hideMark/>
          </w:tcPr>
          <w:p w14:paraId="326B6E6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8</w:t>
            </w:r>
          </w:p>
        </w:tc>
      </w:tr>
      <w:tr w:rsidR="00F77E40" w:rsidRPr="00CA2C58" w14:paraId="389EB148" w14:textId="77777777" w:rsidTr="00F77E40">
        <w:trPr>
          <w:trHeight w:val="1687"/>
        </w:trPr>
        <w:tc>
          <w:tcPr>
            <w:tcW w:w="1472" w:type="dxa"/>
            <w:hideMark/>
          </w:tcPr>
          <w:p w14:paraId="37CA03E4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Broj studenata koji su u prethodnoj akademskoj godini stekli minimalno 55 ECTS bodova</w:t>
            </w:r>
          </w:p>
        </w:tc>
        <w:tc>
          <w:tcPr>
            <w:tcW w:w="1383" w:type="dxa"/>
            <w:hideMark/>
          </w:tcPr>
          <w:p w14:paraId="5C041FB6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Uspješnost studiranja</w:t>
            </w:r>
          </w:p>
        </w:tc>
        <w:tc>
          <w:tcPr>
            <w:tcW w:w="1105" w:type="dxa"/>
            <w:hideMark/>
          </w:tcPr>
          <w:p w14:paraId="254179D0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Broj studenata</w:t>
            </w:r>
          </w:p>
        </w:tc>
        <w:tc>
          <w:tcPr>
            <w:tcW w:w="1016" w:type="dxa"/>
            <w:hideMark/>
          </w:tcPr>
          <w:p w14:paraId="5BEADB3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66</w:t>
            </w:r>
          </w:p>
        </w:tc>
        <w:tc>
          <w:tcPr>
            <w:tcW w:w="831" w:type="dxa"/>
            <w:hideMark/>
          </w:tcPr>
          <w:p w14:paraId="5BE948E3" w14:textId="77777777" w:rsidR="00F77E40" w:rsidRPr="00F77E40" w:rsidRDefault="00F77E40" w:rsidP="00F77E40">
            <w:pPr>
              <w:ind w:left="-93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Fakultet/referada</w:t>
            </w:r>
          </w:p>
        </w:tc>
        <w:tc>
          <w:tcPr>
            <w:tcW w:w="1016" w:type="dxa"/>
            <w:hideMark/>
          </w:tcPr>
          <w:p w14:paraId="1F9E203B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70</w:t>
            </w:r>
          </w:p>
        </w:tc>
        <w:tc>
          <w:tcPr>
            <w:tcW w:w="1016" w:type="dxa"/>
            <w:hideMark/>
          </w:tcPr>
          <w:p w14:paraId="10474344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75</w:t>
            </w:r>
          </w:p>
        </w:tc>
        <w:tc>
          <w:tcPr>
            <w:tcW w:w="1016" w:type="dxa"/>
            <w:hideMark/>
          </w:tcPr>
          <w:p w14:paraId="18EC344A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75</w:t>
            </w:r>
          </w:p>
        </w:tc>
      </w:tr>
      <w:tr w:rsidR="00F77E40" w:rsidRPr="00CA2C58" w14:paraId="4DD1ECE0" w14:textId="77777777" w:rsidTr="00F77E40">
        <w:trPr>
          <w:trHeight w:val="1613"/>
        </w:trPr>
        <w:tc>
          <w:tcPr>
            <w:tcW w:w="1472" w:type="dxa"/>
            <w:hideMark/>
          </w:tcPr>
          <w:p w14:paraId="3B03EC0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 xml:space="preserve">Broj radova objavljenih u časopisima uvedenim u bazu Web </w:t>
            </w:r>
            <w:proofErr w:type="spellStart"/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of</w:t>
            </w:r>
            <w:proofErr w:type="spellEnd"/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 xml:space="preserve"> Science i bazu SCOPUS (objavljenih tijekom jedne godine) </w:t>
            </w:r>
          </w:p>
        </w:tc>
        <w:tc>
          <w:tcPr>
            <w:tcW w:w="1383" w:type="dxa"/>
            <w:hideMark/>
          </w:tcPr>
          <w:p w14:paraId="208380D9" w14:textId="77777777" w:rsidR="00F77E40" w:rsidRPr="00F77E40" w:rsidRDefault="00F77E40" w:rsidP="00F77E40">
            <w:pPr>
              <w:ind w:right="-13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Znanstvena produktivnost</w:t>
            </w:r>
          </w:p>
        </w:tc>
        <w:tc>
          <w:tcPr>
            <w:tcW w:w="1105" w:type="dxa"/>
            <w:hideMark/>
          </w:tcPr>
          <w:p w14:paraId="6FF2BB4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Broj radova</w:t>
            </w:r>
          </w:p>
        </w:tc>
        <w:tc>
          <w:tcPr>
            <w:tcW w:w="1016" w:type="dxa"/>
            <w:hideMark/>
          </w:tcPr>
          <w:p w14:paraId="4E087B33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19</w:t>
            </w:r>
          </w:p>
        </w:tc>
        <w:tc>
          <w:tcPr>
            <w:tcW w:w="831" w:type="dxa"/>
            <w:hideMark/>
          </w:tcPr>
          <w:p w14:paraId="366B21AE" w14:textId="77777777" w:rsidR="00F77E40" w:rsidRPr="00F77E40" w:rsidRDefault="00F77E40" w:rsidP="00F77E40">
            <w:pPr>
              <w:ind w:left="-93" w:right="-13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Fakultet/knjižnica</w:t>
            </w:r>
          </w:p>
        </w:tc>
        <w:tc>
          <w:tcPr>
            <w:tcW w:w="1016" w:type="dxa"/>
            <w:hideMark/>
          </w:tcPr>
          <w:p w14:paraId="46F7D4FF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20</w:t>
            </w:r>
          </w:p>
        </w:tc>
        <w:tc>
          <w:tcPr>
            <w:tcW w:w="1016" w:type="dxa"/>
            <w:hideMark/>
          </w:tcPr>
          <w:p w14:paraId="2CB30AB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21</w:t>
            </w:r>
          </w:p>
        </w:tc>
        <w:tc>
          <w:tcPr>
            <w:tcW w:w="1016" w:type="dxa"/>
            <w:hideMark/>
          </w:tcPr>
          <w:p w14:paraId="6BAFAECD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21</w:t>
            </w:r>
          </w:p>
        </w:tc>
      </w:tr>
      <w:tr w:rsidR="00F77E40" w:rsidRPr="00CA2C58" w14:paraId="33D70531" w14:textId="77777777" w:rsidTr="00F77E40">
        <w:trPr>
          <w:trHeight w:val="2423"/>
        </w:trPr>
        <w:tc>
          <w:tcPr>
            <w:tcW w:w="1472" w:type="dxa"/>
            <w:hideMark/>
          </w:tcPr>
          <w:p w14:paraId="097937B4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Omjer broja završenih studenata u akademskoj godini i broja studenata upisanih u prvu godinu te akademske godine</w:t>
            </w:r>
          </w:p>
        </w:tc>
        <w:tc>
          <w:tcPr>
            <w:tcW w:w="1383" w:type="dxa"/>
            <w:hideMark/>
          </w:tcPr>
          <w:p w14:paraId="0A5A9E34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Završnost studija</w:t>
            </w:r>
          </w:p>
        </w:tc>
        <w:tc>
          <w:tcPr>
            <w:tcW w:w="1105" w:type="dxa"/>
            <w:hideMark/>
          </w:tcPr>
          <w:p w14:paraId="5173F201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Omjer</w:t>
            </w:r>
          </w:p>
        </w:tc>
        <w:tc>
          <w:tcPr>
            <w:tcW w:w="1016" w:type="dxa"/>
            <w:hideMark/>
          </w:tcPr>
          <w:p w14:paraId="6817E448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1,2:1</w:t>
            </w:r>
          </w:p>
        </w:tc>
        <w:tc>
          <w:tcPr>
            <w:tcW w:w="831" w:type="dxa"/>
            <w:hideMark/>
          </w:tcPr>
          <w:p w14:paraId="779D88C7" w14:textId="77777777" w:rsidR="00F77E40" w:rsidRPr="00F77E40" w:rsidRDefault="00F77E40" w:rsidP="00F77E40">
            <w:pPr>
              <w:ind w:left="-9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Fakultet/referada</w:t>
            </w:r>
          </w:p>
        </w:tc>
        <w:tc>
          <w:tcPr>
            <w:tcW w:w="1016" w:type="dxa"/>
            <w:hideMark/>
          </w:tcPr>
          <w:p w14:paraId="71952656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1,1:1</w:t>
            </w:r>
          </w:p>
        </w:tc>
        <w:tc>
          <w:tcPr>
            <w:tcW w:w="1016" w:type="dxa"/>
            <w:hideMark/>
          </w:tcPr>
          <w:p w14:paraId="01ECAEC0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1:1</w:t>
            </w:r>
          </w:p>
        </w:tc>
        <w:tc>
          <w:tcPr>
            <w:tcW w:w="1016" w:type="dxa"/>
            <w:hideMark/>
          </w:tcPr>
          <w:p w14:paraId="6FF8B8D0" w14:textId="77777777" w:rsidR="00F77E40" w:rsidRPr="00F77E40" w:rsidRDefault="00F77E40" w:rsidP="00F77E4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</w:pPr>
            <w:r w:rsidRPr="00F77E4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en-GB"/>
              </w:rPr>
              <w:t> 1:1</w:t>
            </w:r>
          </w:p>
        </w:tc>
      </w:tr>
    </w:tbl>
    <w:p w14:paraId="6D0F72B2" w14:textId="04B01778" w:rsidR="004B4E3D" w:rsidRDefault="004B4E3D" w:rsidP="005207D0">
      <w:pPr>
        <w:spacing w:after="0"/>
        <w:jc w:val="both"/>
        <w:rPr>
          <w:i/>
        </w:rPr>
      </w:pPr>
    </w:p>
    <w:p w14:paraId="7281135C" w14:textId="0FDB7ED8" w:rsidR="004B4E3D" w:rsidRDefault="004B4E3D" w:rsidP="005207D0">
      <w:pPr>
        <w:spacing w:after="0"/>
        <w:jc w:val="both"/>
        <w:rPr>
          <w:i/>
        </w:rPr>
      </w:pPr>
    </w:p>
    <w:p w14:paraId="7F471567" w14:textId="26927B81" w:rsidR="009A6A94" w:rsidRPr="00F77E40" w:rsidRDefault="00834AA7" w:rsidP="009A6A9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iCs/>
          <w:sz w:val="28"/>
        </w:rPr>
      </w:pPr>
      <w:r w:rsidRPr="00F77E40">
        <w:rPr>
          <w:b/>
          <w:iCs/>
          <w:sz w:val="28"/>
        </w:rPr>
        <w:lastRenderedPageBreak/>
        <w:t>A</w:t>
      </w:r>
      <w:r w:rsidR="009A6A94" w:rsidRPr="00F77E40">
        <w:rPr>
          <w:b/>
          <w:iCs/>
          <w:sz w:val="28"/>
        </w:rPr>
        <w:t xml:space="preserve">621038 Programi vježbaonica visokih učilišta </w:t>
      </w:r>
    </w:p>
    <w:p w14:paraId="6A774FB4" w14:textId="77777777" w:rsidR="00F77E40" w:rsidRPr="00111175" w:rsidRDefault="00F77E40" w:rsidP="00F77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bookmarkStart w:id="3" w:name="_Hlk192506477"/>
      <w:r w:rsidRPr="0011117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Zakonske i druge pravne osnove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:</w:t>
      </w:r>
    </w:p>
    <w:p w14:paraId="7E399ECD" w14:textId="77777777" w:rsidR="00F77E40" w:rsidRDefault="00F77E40" w:rsidP="00F77E4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8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2385695B" w14:textId="77777777" w:rsidR="00F77E40" w:rsidRDefault="00F77E40" w:rsidP="00F77E4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osiguranju kvalitete u znanosti i visokom obrazovanju</w:t>
      </w:r>
    </w:p>
    <w:p w14:paraId="6D312937" w14:textId="4CD85D70" w:rsidR="009A6A94" w:rsidRPr="00F77E40" w:rsidRDefault="00F77E40" w:rsidP="00F77E4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40">
        <w:rPr>
          <w:rFonts w:ascii="Times New Roman" w:hAnsi="Times New Roman" w:cs="Times New Roman"/>
          <w:sz w:val="24"/>
          <w:szCs w:val="24"/>
        </w:rPr>
        <w:t>Odluka o financiranju realizacije dijela praktične nastave pod nadzorom mentora u vježbaonicama srednjih škola</w:t>
      </w:r>
      <w:bookmarkEnd w:id="3"/>
    </w:p>
    <w:p w14:paraId="12070584" w14:textId="77777777" w:rsidR="009A6A94" w:rsidRPr="009A6A94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</w:tblGrid>
      <w:tr w:rsidR="00F77E40" w:rsidRPr="009A6A94" w14:paraId="36200429" w14:textId="77777777" w:rsidTr="00472C5D">
        <w:tc>
          <w:tcPr>
            <w:tcW w:w="1773" w:type="dxa"/>
            <w:shd w:val="clear" w:color="auto" w:fill="D0CECE" w:themeFill="background2" w:themeFillShade="E6"/>
          </w:tcPr>
          <w:p w14:paraId="326B4709" w14:textId="77777777" w:rsidR="00F77E40" w:rsidRPr="009A6A94" w:rsidRDefault="00F77E40" w:rsidP="00F77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890F2F1" w14:textId="77777777" w:rsidR="00F77E40" w:rsidRPr="009A6A94" w:rsidRDefault="00F77E40" w:rsidP="00F77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BC4FD1D" w14:textId="0C706F2F" w:rsidR="00F77E40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Izvršenje 2024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F2F1B26" w14:textId="772F1AB8" w:rsidR="00F77E40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24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D3163F0" w14:textId="3D05438A" w:rsidR="00F77E40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25</w:t>
            </w:r>
            <w:r w:rsidRPr="009D005B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5AD3AD93" w14:textId="39D49EB0" w:rsidR="00F77E40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6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05B6D3DF" w14:textId="2CD8A566" w:rsidR="00F77E40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7</w:t>
            </w:r>
            <w:r w:rsidRPr="009D005B">
              <w:t>.</w:t>
            </w:r>
          </w:p>
        </w:tc>
      </w:tr>
      <w:tr w:rsidR="00B41643" w:rsidRPr="009A6A94" w14:paraId="3A2EA648" w14:textId="77777777" w:rsidTr="00472C5D">
        <w:tc>
          <w:tcPr>
            <w:tcW w:w="1773" w:type="dxa"/>
          </w:tcPr>
          <w:p w14:paraId="054C7429" w14:textId="77777777" w:rsidR="00B41643" w:rsidRPr="009A6A94" w:rsidRDefault="00B41643" w:rsidP="009A6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A621038</w:t>
            </w:r>
          </w:p>
          <w:p w14:paraId="61110583" w14:textId="77777777" w:rsidR="00B41643" w:rsidRPr="009A6A94" w:rsidRDefault="00B41643" w:rsidP="009A6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7A391CFF" w14:textId="77777777" w:rsidR="00F77E40" w:rsidRDefault="00F77E40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0D4A67" w14:textId="556AB89C" w:rsidR="00B41643" w:rsidRPr="009A6A94" w:rsidRDefault="001B15CB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1.012</w:t>
            </w:r>
          </w:p>
        </w:tc>
        <w:tc>
          <w:tcPr>
            <w:tcW w:w="1211" w:type="dxa"/>
          </w:tcPr>
          <w:p w14:paraId="1C8DB593" w14:textId="77777777" w:rsidR="00F77E40" w:rsidRDefault="00F77E40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EC4D20" w14:textId="7C1A6B27" w:rsidR="00B41643" w:rsidRPr="009A6A94" w:rsidRDefault="00F77E40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950</w:t>
            </w:r>
          </w:p>
        </w:tc>
        <w:tc>
          <w:tcPr>
            <w:tcW w:w="1211" w:type="dxa"/>
          </w:tcPr>
          <w:p w14:paraId="35C49BF6" w14:textId="77777777" w:rsidR="00F77E40" w:rsidRDefault="00F77E40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9579A32" w14:textId="037B8C5E" w:rsidR="00B41643" w:rsidRPr="009A6A94" w:rsidRDefault="001B15CB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3.500</w:t>
            </w:r>
          </w:p>
        </w:tc>
        <w:tc>
          <w:tcPr>
            <w:tcW w:w="1210" w:type="dxa"/>
          </w:tcPr>
          <w:p w14:paraId="5C665B9A" w14:textId="77777777" w:rsidR="00F77E40" w:rsidRDefault="00F77E40" w:rsidP="001B1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0C33447" w14:textId="529FED7B" w:rsidR="00B41643" w:rsidRPr="009A6A94" w:rsidRDefault="001B15CB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3.500</w:t>
            </w:r>
          </w:p>
        </w:tc>
        <w:tc>
          <w:tcPr>
            <w:tcW w:w="1211" w:type="dxa"/>
          </w:tcPr>
          <w:p w14:paraId="51765FB9" w14:textId="77777777" w:rsidR="00F77E40" w:rsidRDefault="00F77E40" w:rsidP="00F6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B93F8A" w14:textId="5DD50D91" w:rsidR="00B41643" w:rsidRPr="009A6A94" w:rsidRDefault="00F77E40" w:rsidP="00F7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3.500</w:t>
            </w:r>
          </w:p>
        </w:tc>
      </w:tr>
    </w:tbl>
    <w:p w14:paraId="2AADF3CC" w14:textId="77777777" w:rsidR="009A6A94" w:rsidRPr="009A6A94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6E6E9234" w14:textId="49F81014" w:rsidR="009A6A94" w:rsidRPr="00F77E40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Ova aktivnost </w:t>
      </w:r>
      <w:r w:rsidR="001B15CB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 </w:t>
      </w: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provodi svake godine.  </w:t>
      </w:r>
    </w:p>
    <w:p w14:paraId="22EBBE77" w14:textId="2E05E798" w:rsidR="009A6A94" w:rsidRPr="00F77E40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202</w:t>
      </w:r>
      <w:r w:rsidR="001B15CB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–202</w:t>
      </w:r>
      <w:r w:rsidR="001B15CB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očekuje se </w:t>
      </w:r>
      <w:r w:rsidR="00CE4F32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približno isti</w:t>
      </w: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opseg </w:t>
      </w:r>
      <w:proofErr w:type="spellStart"/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vježbaoničkog</w:t>
      </w:r>
      <w:proofErr w:type="spellEnd"/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rada</w:t>
      </w:r>
      <w:r w:rsidR="00CE4F32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14A9E"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Limit je dobiven od Sveučilišta u Splitu.</w:t>
      </w:r>
    </w:p>
    <w:p w14:paraId="5BC6C01A" w14:textId="77777777" w:rsidR="00CE4F32" w:rsidRPr="00F77E40" w:rsidRDefault="00CE4F32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2B899C" w14:textId="65968DB2" w:rsidR="009A6A94" w:rsidRPr="00F77E40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E40">
        <w:rPr>
          <w:rFonts w:ascii="Times New Roman" w:eastAsia="Times New Roman" w:hAnsi="Times New Roman" w:cs="Times New Roman"/>
          <w:sz w:val="24"/>
          <w:szCs w:val="24"/>
          <w:lang w:eastAsia="en-GB"/>
        </w:rPr>
        <w:t>Izračun financijskog plana:</w:t>
      </w:r>
    </w:p>
    <w:p w14:paraId="104AF1BA" w14:textId="59FA2217" w:rsidR="009A6A94" w:rsidRPr="009A6A94" w:rsidRDefault="009A6A94" w:rsidP="009A6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9A6A94" w:rsidRPr="009A6A94" w14:paraId="1A9F520F" w14:textId="77777777" w:rsidTr="00472C5D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6282E0F" w14:textId="77777777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E7BC5D8" w14:textId="77777777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1D61EBDA" w14:textId="77777777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0A1D1C0" w14:textId="77777777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AF89E7F" w14:textId="77777777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EE54F9E" w14:textId="46D77953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1B15CB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E2C4661" w14:textId="315C09AF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1B15CB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6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394B2E2" w14:textId="2F2E3603" w:rsidR="009A6A94" w:rsidRPr="009A6A94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1B15CB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</w:tr>
      <w:tr w:rsidR="009A6A94" w:rsidRPr="009A6A94" w14:paraId="6C42AAB7" w14:textId="77777777" w:rsidTr="00472C5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1BC7A3" w14:textId="77777777" w:rsidR="009A6A94" w:rsidRPr="00352442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C6AF46" w14:textId="77777777" w:rsidR="009A6A94" w:rsidRPr="00352442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A3F0266" w14:textId="77777777" w:rsidR="009A6A94" w:rsidRPr="00352442" w:rsidRDefault="009A6A94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Broj izvješća mentora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E4BC118" w14:textId="1A40AD94" w:rsidR="009A6A94" w:rsidRPr="00352442" w:rsidRDefault="00481D0C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  <w:r w:rsid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B3B9ED8" w14:textId="236D8FF0" w:rsidR="009A6A94" w:rsidRPr="00352442" w:rsidRDefault="00481D0C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9983D" w14:textId="144FBB05" w:rsidR="009A6A94" w:rsidRPr="00352442" w:rsidRDefault="00481D0C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  <w:r w:rsidR="001B15CB"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76238D9" w14:textId="17E5EF31" w:rsidR="009A6A94" w:rsidRPr="00352442" w:rsidRDefault="00481D0C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  <w:r w:rsidR="001B15CB"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E2BAAC1" w14:textId="450DACA6" w:rsidR="009A6A94" w:rsidRPr="00352442" w:rsidRDefault="00481D0C" w:rsidP="009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  <w:r w:rsidR="001B15CB" w:rsidRPr="0035244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</w:tr>
    </w:tbl>
    <w:p w14:paraId="05153CDE" w14:textId="0AAC5502" w:rsidR="009A6A94" w:rsidRDefault="009A6A94" w:rsidP="005207D0">
      <w:pPr>
        <w:spacing w:after="0"/>
        <w:jc w:val="both"/>
        <w:rPr>
          <w:i/>
        </w:rPr>
      </w:pPr>
    </w:p>
    <w:p w14:paraId="1045E327" w14:textId="77777777" w:rsidR="00352442" w:rsidRDefault="00352442" w:rsidP="005207D0">
      <w:pPr>
        <w:spacing w:after="0"/>
        <w:jc w:val="both"/>
        <w:rPr>
          <w:i/>
        </w:rPr>
      </w:pPr>
    </w:p>
    <w:p w14:paraId="4C61EF9F" w14:textId="77777777" w:rsidR="00352442" w:rsidRPr="00006A54" w:rsidRDefault="00352442" w:rsidP="0035244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A679077 EU projekti Sveučilišta u Splitu iz evidencijskih prihoda</w:t>
      </w:r>
    </w:p>
    <w:p w14:paraId="6F08BA62" w14:textId="77777777" w:rsidR="00352442" w:rsidRPr="00C7623F" w:rsidRDefault="00352442" w:rsidP="0035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7623F">
        <w:rPr>
          <w:rFonts w:ascii="Times New Roman" w:hAnsi="Times New Roman" w:cs="Times New Roman"/>
          <w:sz w:val="24"/>
          <w:szCs w:val="24"/>
        </w:rPr>
        <w:t>Na ovoj aktivnosti planirani su rashodi za:</w:t>
      </w:r>
    </w:p>
    <w:p w14:paraId="3CE32183" w14:textId="4E5F9DBB" w:rsidR="00352442" w:rsidRPr="00C7623F" w:rsidRDefault="00352442" w:rsidP="0035244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KA131 2023 </w:t>
      </w:r>
      <w:proofErr w:type="spellStart"/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>+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rogram</w:t>
      </w: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traje od 01.06.2023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>31.07.2025.</w:t>
      </w:r>
    </w:p>
    <w:p w14:paraId="7089653F" w14:textId="22E99C27" w:rsidR="00352442" w:rsidRPr="00C7623F" w:rsidRDefault="00352442" w:rsidP="0035244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KA131 2024 </w:t>
      </w:r>
      <w:proofErr w:type="spellStart"/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traje od 01.06.2024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Pr="00C7623F">
        <w:rPr>
          <w:rFonts w:ascii="Times New Roman" w:eastAsia="Times New Roman" w:hAnsi="Times New Roman" w:cs="Times New Roman"/>
          <w:sz w:val="24"/>
          <w:szCs w:val="24"/>
          <w:lang w:eastAsia="hr-HR"/>
        </w:rPr>
        <w:t>31.07.2026.</w:t>
      </w:r>
    </w:p>
    <w:p w14:paraId="69556D61" w14:textId="03AC7353" w:rsidR="00352442" w:rsidRPr="00C7623F" w:rsidRDefault="00352442" w:rsidP="0035244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KA171 2022 </w:t>
      </w:r>
      <w:proofErr w:type="spellStart"/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Erasmus</w:t>
      </w:r>
      <w:proofErr w:type="spellEnd"/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</w:t>
      </w: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traje od 01.08.2022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</w:t>
      </w: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31.07.2025.</w:t>
      </w:r>
    </w:p>
    <w:p w14:paraId="0D521196" w14:textId="038ACB09" w:rsidR="00352442" w:rsidRPr="00C7623F" w:rsidRDefault="00352442" w:rsidP="0035244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KA171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+ program</w:t>
      </w: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traje od 01.08.2023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</w:t>
      </w:r>
      <w:r w:rsidRPr="00C762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31.07.2026.</w:t>
      </w:r>
    </w:p>
    <w:p w14:paraId="6A2AF332" w14:textId="3C4024DA" w:rsidR="00352442" w:rsidRPr="00352442" w:rsidRDefault="00352442" w:rsidP="003524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KA171 202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Erasmus</w:t>
      </w:r>
      <w:proofErr w:type="spellEnd"/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+ program traje od 01.08.202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 do </w:t>
      </w:r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31.07.202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3524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B2ACA55" w14:textId="1F91A449" w:rsidR="00352442" w:rsidRDefault="00352442" w:rsidP="003524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se namjenski troše prema planu i programu dobivenog projekta.</w:t>
      </w:r>
    </w:p>
    <w:p w14:paraId="315847BB" w14:textId="77777777" w:rsidR="0074576C" w:rsidRDefault="0074576C" w:rsidP="003524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</w:tblGrid>
      <w:tr w:rsidR="00352442" w:rsidRPr="009A6A94" w14:paraId="25D6CE94" w14:textId="77777777" w:rsidTr="00057CFF">
        <w:tc>
          <w:tcPr>
            <w:tcW w:w="1773" w:type="dxa"/>
            <w:shd w:val="clear" w:color="auto" w:fill="D0CECE" w:themeFill="background2" w:themeFillShade="E6"/>
          </w:tcPr>
          <w:p w14:paraId="65101C42" w14:textId="77777777" w:rsidR="00352442" w:rsidRPr="009A6A94" w:rsidRDefault="00352442" w:rsidP="0005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18EA31" w14:textId="77777777" w:rsidR="00352442" w:rsidRPr="009A6A94" w:rsidRDefault="00352442" w:rsidP="0005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74DD27F3" w14:textId="77777777" w:rsidR="00352442" w:rsidRPr="009A6A94" w:rsidRDefault="00352442" w:rsidP="0005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Izvršenje 2024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352806C" w14:textId="77777777" w:rsidR="00352442" w:rsidRPr="009A6A94" w:rsidRDefault="00352442" w:rsidP="0005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24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F15A5D8" w14:textId="77777777" w:rsidR="00352442" w:rsidRPr="009A6A94" w:rsidRDefault="00352442" w:rsidP="0005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25</w:t>
            </w:r>
            <w:r w:rsidRPr="009D005B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2C883DEA" w14:textId="77777777" w:rsidR="00352442" w:rsidRPr="009A6A94" w:rsidRDefault="00352442" w:rsidP="0005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6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01BC09F6" w14:textId="77777777" w:rsidR="00352442" w:rsidRPr="009A6A94" w:rsidRDefault="00352442" w:rsidP="0005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7</w:t>
            </w:r>
            <w:r w:rsidRPr="009D005B">
              <w:t>.</w:t>
            </w:r>
          </w:p>
        </w:tc>
      </w:tr>
      <w:tr w:rsidR="00352442" w:rsidRPr="009A6A94" w14:paraId="1CB0BA32" w14:textId="77777777" w:rsidTr="00057CFF">
        <w:tc>
          <w:tcPr>
            <w:tcW w:w="1773" w:type="dxa"/>
          </w:tcPr>
          <w:p w14:paraId="3CBFBDB0" w14:textId="1E04BB60" w:rsidR="00352442" w:rsidRPr="009A6A94" w:rsidRDefault="00352442" w:rsidP="00057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79077</w:t>
            </w:r>
          </w:p>
          <w:p w14:paraId="22DCE314" w14:textId="5EF227C8" w:rsidR="00352442" w:rsidRPr="009A6A94" w:rsidRDefault="0074576C" w:rsidP="00057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 projekti Sveučilišta u Splitu</w:t>
            </w:r>
          </w:p>
        </w:tc>
        <w:tc>
          <w:tcPr>
            <w:tcW w:w="1231" w:type="dxa"/>
            <w:shd w:val="clear" w:color="auto" w:fill="auto"/>
          </w:tcPr>
          <w:p w14:paraId="0F003D73" w14:textId="77777777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422DAF" w14:textId="357EEB48" w:rsidR="00352442" w:rsidRPr="009A6A94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9.237</w:t>
            </w:r>
          </w:p>
        </w:tc>
        <w:tc>
          <w:tcPr>
            <w:tcW w:w="1211" w:type="dxa"/>
          </w:tcPr>
          <w:p w14:paraId="77CCE13C" w14:textId="77777777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DF624C" w14:textId="3FE2B880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2.895</w:t>
            </w:r>
          </w:p>
          <w:p w14:paraId="74CAE1A3" w14:textId="37A37568" w:rsidR="00352442" w:rsidRPr="009A6A94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1" w:type="dxa"/>
          </w:tcPr>
          <w:p w14:paraId="263F16DD" w14:textId="77777777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5CDE72" w14:textId="7C9C0E76" w:rsidR="00352442" w:rsidRPr="009A6A94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15.000</w:t>
            </w:r>
          </w:p>
        </w:tc>
        <w:tc>
          <w:tcPr>
            <w:tcW w:w="1210" w:type="dxa"/>
          </w:tcPr>
          <w:p w14:paraId="4ECEA42A" w14:textId="77777777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7CB68C" w14:textId="7A1F3E03" w:rsidR="00352442" w:rsidRPr="009A6A94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15.000</w:t>
            </w:r>
          </w:p>
        </w:tc>
        <w:tc>
          <w:tcPr>
            <w:tcW w:w="1211" w:type="dxa"/>
          </w:tcPr>
          <w:p w14:paraId="13740A27" w14:textId="77777777" w:rsidR="00352442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B64638" w14:textId="1D946999" w:rsidR="00352442" w:rsidRPr="009A6A94" w:rsidRDefault="00352442" w:rsidP="0035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15.000</w:t>
            </w:r>
          </w:p>
        </w:tc>
      </w:tr>
    </w:tbl>
    <w:p w14:paraId="70E883DB" w14:textId="231766E4" w:rsidR="00352442" w:rsidRDefault="00352442" w:rsidP="00352442">
      <w:pPr>
        <w:spacing w:after="0"/>
        <w:jc w:val="both"/>
      </w:pPr>
    </w:p>
    <w:p w14:paraId="53D2F5E5" w14:textId="77777777" w:rsidR="00352442" w:rsidRPr="00352442" w:rsidRDefault="00352442" w:rsidP="00352442">
      <w:pPr>
        <w:spacing w:after="0"/>
        <w:jc w:val="both"/>
      </w:pPr>
    </w:p>
    <w:p w14:paraId="63A3DA11" w14:textId="76F1BEBA" w:rsidR="009A6A94" w:rsidRPr="0074576C" w:rsidRDefault="0051336D" w:rsidP="0074576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A679091 Redovna djelatnost Sveučilišta u Splitu iz evidencijskih izvora</w:t>
      </w:r>
    </w:p>
    <w:p w14:paraId="77320110" w14:textId="77777777" w:rsidR="0074576C" w:rsidRPr="00111175" w:rsidRDefault="0074576C" w:rsidP="0074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1175">
        <w:rPr>
          <w:rFonts w:ascii="Times New Roman" w:eastAsia="Times New Roman" w:hAnsi="Times New Roman" w:cs="Times New Roman"/>
          <w:sz w:val="24"/>
          <w:szCs w:val="24"/>
          <w:lang w:eastAsia="en-GB"/>
        </w:rPr>
        <w:t>Zakonske i druge pravne osnove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45FA977" w14:textId="77777777" w:rsidR="0074576C" w:rsidRPr="00006A54" w:rsidRDefault="0074576C" w:rsidP="0074576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 xml:space="preserve">Zakon o visokom obrazovanju i znanstvenoj djelatnosti </w:t>
      </w:r>
    </w:p>
    <w:p w14:paraId="74F50E5F" w14:textId="77777777" w:rsidR="0074576C" w:rsidRDefault="0074576C" w:rsidP="0074576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</w:t>
      </w:r>
    </w:p>
    <w:p w14:paraId="78355209" w14:textId="77777777" w:rsidR="0074576C" w:rsidRDefault="0074576C" w:rsidP="0074576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A54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14:paraId="30992978" w14:textId="77777777" w:rsidR="0074576C" w:rsidRPr="00385503" w:rsidRDefault="0074576C" w:rsidP="0074576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Akcijski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plan KBF-a</w:t>
      </w:r>
    </w:p>
    <w:p w14:paraId="7ED8A05B" w14:textId="77777777" w:rsidR="0074576C" w:rsidRPr="00385503" w:rsidRDefault="0074576C" w:rsidP="0074576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KBF-a za </w:t>
      </w:r>
      <w:proofErr w:type="spellStart"/>
      <w:r w:rsidRPr="00385503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385503">
        <w:rPr>
          <w:rFonts w:ascii="Times New Roman" w:hAnsi="Times New Roman" w:cs="Times New Roman"/>
          <w:sz w:val="24"/>
          <w:szCs w:val="24"/>
          <w:lang w:val="en-US"/>
        </w:rPr>
        <w:t xml:space="preserve"> 2021.-2025. </w:t>
      </w:r>
    </w:p>
    <w:p w14:paraId="13D47272" w14:textId="2C6343EF" w:rsidR="009A6A94" w:rsidRPr="00834AA7" w:rsidRDefault="0006074F" w:rsidP="0074576C">
      <w:pPr>
        <w:spacing w:after="0" w:line="276" w:lineRule="auto"/>
        <w:ind w:left="360"/>
        <w:jc w:val="both"/>
        <w:rPr>
          <w:i/>
        </w:rPr>
      </w:pPr>
      <w:r w:rsidRPr="00834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008"/>
        <w:gridCol w:w="1275"/>
        <w:gridCol w:w="1190"/>
        <w:gridCol w:w="1190"/>
        <w:gridCol w:w="1296"/>
      </w:tblGrid>
      <w:tr w:rsidR="0074576C" w:rsidRPr="00D95301" w14:paraId="5A5B9436" w14:textId="77777777" w:rsidTr="0074576C">
        <w:tc>
          <w:tcPr>
            <w:tcW w:w="2830" w:type="dxa"/>
            <w:shd w:val="clear" w:color="auto" w:fill="D0CECE" w:themeFill="background2" w:themeFillShade="E6"/>
          </w:tcPr>
          <w:p w14:paraId="12A204CA" w14:textId="77777777" w:rsidR="0074576C" w:rsidRPr="00D95301" w:rsidRDefault="0074576C" w:rsidP="00745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9E8369" w14:textId="77777777" w:rsidR="0074576C" w:rsidRPr="00D95301" w:rsidRDefault="0074576C" w:rsidP="00745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18243EAB" w14:textId="6E9461DE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Izvršenje 2024</w:t>
            </w:r>
            <w:r w:rsidRPr="009D005B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184F2C6" w14:textId="152EA596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24</w:t>
            </w:r>
            <w:r w:rsidRPr="009D005B">
              <w:t>.</w:t>
            </w:r>
          </w:p>
        </w:tc>
        <w:tc>
          <w:tcPr>
            <w:tcW w:w="1190" w:type="dxa"/>
            <w:shd w:val="clear" w:color="auto" w:fill="D0CECE" w:themeFill="background2" w:themeFillShade="E6"/>
            <w:vAlign w:val="center"/>
          </w:tcPr>
          <w:p w14:paraId="246268CD" w14:textId="5B294C80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Plan 20</w:t>
            </w:r>
            <w:r>
              <w:t>25</w:t>
            </w:r>
            <w:r w:rsidRPr="009D005B">
              <w:t>.</w:t>
            </w:r>
          </w:p>
        </w:tc>
        <w:tc>
          <w:tcPr>
            <w:tcW w:w="1190" w:type="dxa"/>
            <w:shd w:val="clear" w:color="auto" w:fill="D0CECE" w:themeFill="background2" w:themeFillShade="E6"/>
            <w:vAlign w:val="center"/>
          </w:tcPr>
          <w:p w14:paraId="6E5B5643" w14:textId="7AE8959C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6</w:t>
            </w:r>
            <w:r w:rsidRPr="009D005B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410947B8" w14:textId="47C08B8A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005B">
              <w:t>P</w:t>
            </w:r>
            <w:r>
              <w:t>rojekcija</w:t>
            </w:r>
            <w:r w:rsidRPr="009D005B">
              <w:t xml:space="preserve"> 202</w:t>
            </w:r>
            <w:r>
              <w:t>7</w:t>
            </w:r>
            <w:r w:rsidRPr="009D005B">
              <w:t>.</w:t>
            </w:r>
          </w:p>
        </w:tc>
      </w:tr>
      <w:tr w:rsidR="00B41643" w:rsidRPr="00D95301" w14:paraId="56CCB1F3" w14:textId="77777777" w:rsidTr="0074576C">
        <w:tc>
          <w:tcPr>
            <w:tcW w:w="2830" w:type="dxa"/>
          </w:tcPr>
          <w:p w14:paraId="0651CC17" w14:textId="259BCC27" w:rsidR="00B41643" w:rsidRPr="00D95301" w:rsidRDefault="00B41643" w:rsidP="00D95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A6790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  <w:p w14:paraId="0B0F341F" w14:textId="50A67F58" w:rsidR="00B41643" w:rsidRPr="00D95301" w:rsidRDefault="00B41643" w:rsidP="00D95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Redovna djelatnost Sveučilišta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Splitu</w:t>
            </w:r>
            <w:r w:rsidRPr="00D953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(iz evidencijskih prihoda)</w:t>
            </w:r>
          </w:p>
        </w:tc>
        <w:tc>
          <w:tcPr>
            <w:tcW w:w="426" w:type="dxa"/>
            <w:shd w:val="clear" w:color="auto" w:fill="auto"/>
          </w:tcPr>
          <w:p w14:paraId="02C0CFF9" w14:textId="77777777" w:rsidR="0074576C" w:rsidRDefault="0074576C" w:rsidP="00D95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4F51B7" w14:textId="251074C9" w:rsidR="00B41643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180.396</w:t>
            </w:r>
          </w:p>
        </w:tc>
        <w:tc>
          <w:tcPr>
            <w:tcW w:w="1275" w:type="dxa"/>
          </w:tcPr>
          <w:p w14:paraId="5A3CBBC2" w14:textId="77777777" w:rsidR="00B41643" w:rsidRDefault="00B41643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FECC1F" w14:textId="6D1028AD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40.500</w:t>
            </w:r>
          </w:p>
        </w:tc>
        <w:tc>
          <w:tcPr>
            <w:tcW w:w="1190" w:type="dxa"/>
          </w:tcPr>
          <w:p w14:paraId="64E5E479" w14:textId="77777777" w:rsidR="00B41643" w:rsidRDefault="00B41643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E997A7" w14:textId="06B23F1E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50.600</w:t>
            </w:r>
          </w:p>
        </w:tc>
        <w:tc>
          <w:tcPr>
            <w:tcW w:w="1190" w:type="dxa"/>
          </w:tcPr>
          <w:p w14:paraId="5272C1CD" w14:textId="77777777" w:rsidR="00B41643" w:rsidRDefault="00B41643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B6BCC11" w14:textId="62260122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50.600</w:t>
            </w:r>
          </w:p>
        </w:tc>
        <w:tc>
          <w:tcPr>
            <w:tcW w:w="1296" w:type="dxa"/>
          </w:tcPr>
          <w:p w14:paraId="7A3B03E6" w14:textId="77777777" w:rsidR="00B41643" w:rsidRDefault="00B41643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807F51" w14:textId="6DA7FA2E" w:rsidR="0074576C" w:rsidRPr="00D95301" w:rsidRDefault="0074576C" w:rsidP="0074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50.600</w:t>
            </w:r>
          </w:p>
        </w:tc>
      </w:tr>
    </w:tbl>
    <w:p w14:paraId="26B4066E" w14:textId="636764C7" w:rsidR="00514A9E" w:rsidRDefault="00514A9E" w:rsidP="005207D0">
      <w:pPr>
        <w:spacing w:after="0"/>
        <w:jc w:val="both"/>
        <w:rPr>
          <w:i/>
        </w:rPr>
      </w:pPr>
    </w:p>
    <w:p w14:paraId="08499A3D" w14:textId="512CA5F9" w:rsidR="0074576C" w:rsidRDefault="008F6935" w:rsidP="0083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76C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 provodi se svake godine.</w:t>
      </w:r>
    </w:p>
    <w:p w14:paraId="38E81035" w14:textId="77777777" w:rsidR="001748A4" w:rsidRDefault="001748A4" w:rsidP="0083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051CC7" w14:textId="39C2976C" w:rsidR="0074576C" w:rsidRDefault="0074576C" w:rsidP="0074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1E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9D721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721E">
        <w:rPr>
          <w:rFonts w:ascii="Times New Roman" w:hAnsi="Times New Roman" w:cs="Times New Roman"/>
          <w:sz w:val="24"/>
          <w:szCs w:val="24"/>
        </w:rPr>
        <w:t>:</w:t>
      </w:r>
    </w:p>
    <w:p w14:paraId="7937DFB9" w14:textId="77777777" w:rsidR="001748A4" w:rsidRDefault="001748A4" w:rsidP="0074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C314" w14:textId="12E67A74" w:rsidR="0074576C" w:rsidRDefault="0074576C" w:rsidP="0074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F04AC5">
        <w:rPr>
          <w:rFonts w:ascii="Times New Roman" w:eastAsia="Times New Roman" w:hAnsi="Times New Roman" w:cs="Times New Roman"/>
          <w:sz w:val="24"/>
          <w:szCs w:val="24"/>
          <w:lang w:eastAsia="en-GB"/>
        </w:rPr>
        <w:t>rihodi za posebne namjene</w:t>
      </w:r>
      <w:r w:rsidR="007F7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(izvor 43)</w:t>
      </w:r>
      <w:r w:rsidRPr="00F04A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04AC5">
        <w:rPr>
          <w:rFonts w:ascii="Times New Roman" w:hAnsi="Times New Roman" w:cs="Times New Roman"/>
          <w:sz w:val="24"/>
          <w:szCs w:val="24"/>
        </w:rPr>
        <w:t xml:space="preserve">su prihodi koje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Pr="00F04AC5">
        <w:rPr>
          <w:rFonts w:ascii="Times New Roman" w:hAnsi="Times New Roman" w:cs="Times New Roman"/>
          <w:sz w:val="24"/>
          <w:szCs w:val="24"/>
        </w:rPr>
        <w:t xml:space="preserve"> stječe obavljanjem osnovne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AC5">
        <w:rPr>
          <w:rFonts w:ascii="Times New Roman" w:hAnsi="Times New Roman" w:cs="Times New Roman"/>
          <w:sz w:val="24"/>
          <w:szCs w:val="24"/>
        </w:rPr>
        <w:t>temeljem posebnog propisa.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04AC5">
        <w:rPr>
          <w:rFonts w:ascii="Times New Roman" w:hAnsi="Times New Roman" w:cs="Times New Roman"/>
          <w:sz w:val="24"/>
          <w:szCs w:val="24"/>
        </w:rPr>
        <w:t xml:space="preserve">buhvaćaju prihode od participiranja studenata u troškovima studija na svim razinama studijskih programa koji su ustrojeni i izvode se na </w:t>
      </w:r>
      <w:r>
        <w:rPr>
          <w:rFonts w:ascii="Times New Roman" w:hAnsi="Times New Roman" w:cs="Times New Roman"/>
          <w:sz w:val="24"/>
          <w:szCs w:val="24"/>
        </w:rPr>
        <w:t>fakultetu</w:t>
      </w:r>
      <w:r w:rsidRPr="00F04AC5">
        <w:rPr>
          <w:rFonts w:ascii="Times New Roman" w:hAnsi="Times New Roman" w:cs="Times New Roman"/>
          <w:sz w:val="24"/>
          <w:szCs w:val="24"/>
        </w:rPr>
        <w:t xml:space="preserve"> (u odnosu na ostvarene ECTS bodove) i to plaćanjem </w:t>
      </w:r>
      <w:r w:rsidR="007F7E59">
        <w:rPr>
          <w:rFonts w:ascii="Times New Roman" w:hAnsi="Times New Roman" w:cs="Times New Roman"/>
          <w:sz w:val="24"/>
          <w:szCs w:val="24"/>
        </w:rPr>
        <w:t xml:space="preserve">školarine, </w:t>
      </w:r>
      <w:r w:rsidRPr="00F04AC5">
        <w:rPr>
          <w:rFonts w:ascii="Times New Roman" w:hAnsi="Times New Roman" w:cs="Times New Roman"/>
          <w:sz w:val="24"/>
          <w:szCs w:val="24"/>
        </w:rPr>
        <w:t>upisnine, troškova dodatnih provjera znanja i ostalih troškova u kojima studenti sudjeluju.</w:t>
      </w:r>
      <w:r>
        <w:rPr>
          <w:rFonts w:ascii="Times New Roman" w:hAnsi="Times New Roman" w:cs="Times New Roman"/>
          <w:sz w:val="24"/>
          <w:szCs w:val="24"/>
        </w:rPr>
        <w:t xml:space="preserve"> Iz ovog izvora u 202</w:t>
      </w:r>
      <w:r w:rsidR="007F7E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7F7E59">
        <w:rPr>
          <w:rFonts w:ascii="Times New Roman" w:hAnsi="Times New Roman" w:cs="Times New Roman"/>
          <w:sz w:val="24"/>
          <w:szCs w:val="24"/>
        </w:rPr>
        <w:t xml:space="preserve"> planirano je ostvariti 35.000,00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1A65D" w14:textId="555C12A9" w:rsidR="0074576C" w:rsidRDefault="0074576C" w:rsidP="0074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Ostale pomoći</w:t>
      </w:r>
      <w:r w:rsidR="007F7E59">
        <w:rPr>
          <w:rFonts w:ascii="Times New Roman" w:hAnsi="Times New Roman" w:cs="Times New Roman"/>
          <w:sz w:val="24"/>
          <w:szCs w:val="24"/>
        </w:rPr>
        <w:t xml:space="preserve"> (izvor 52)</w:t>
      </w:r>
      <w:r>
        <w:rPr>
          <w:rFonts w:ascii="Times New Roman" w:hAnsi="Times New Roman" w:cs="Times New Roman"/>
          <w:sz w:val="24"/>
          <w:szCs w:val="24"/>
        </w:rPr>
        <w:t xml:space="preserve"> su prihodi koji se ostvare temeljem natječaja, javnih poziva ministarstava i jedinica lokalne i područne (regionalne) samouprave.</w:t>
      </w:r>
      <w:r w:rsidR="00D944A0">
        <w:rPr>
          <w:rFonts w:ascii="Times New Roman" w:hAnsi="Times New Roman" w:cs="Times New Roman"/>
          <w:sz w:val="24"/>
          <w:szCs w:val="24"/>
        </w:rPr>
        <w:t xml:space="preserve"> </w:t>
      </w:r>
      <w:r w:rsidR="00D944A0" w:rsidRPr="00C7623F">
        <w:rPr>
          <w:rFonts w:ascii="Times New Roman" w:hAnsi="Times New Roman" w:cs="Times New Roman"/>
          <w:sz w:val="24"/>
          <w:szCs w:val="24"/>
        </w:rPr>
        <w:t xml:space="preserve">Na ovom izvoru tokom godine značajan iznos dobijemo od Ministarstva </w:t>
      </w:r>
      <w:r w:rsidR="00D944A0">
        <w:rPr>
          <w:rFonts w:ascii="Times New Roman" w:hAnsi="Times New Roman" w:cs="Times New Roman"/>
          <w:sz w:val="24"/>
          <w:szCs w:val="24"/>
        </w:rPr>
        <w:t>znanosti, obrazovanja i mladih za znanstvenu infrastrukturu (izdavanje domaćih znanstvenih časopisa i održavanje znanstvenih skupova</w:t>
      </w:r>
      <w:r w:rsidR="001748A4">
        <w:rPr>
          <w:rFonts w:ascii="Times New Roman" w:hAnsi="Times New Roman" w:cs="Times New Roman"/>
          <w:sz w:val="24"/>
          <w:szCs w:val="24"/>
        </w:rPr>
        <w:t xml:space="preserve">) </w:t>
      </w:r>
      <w:r w:rsidR="00D944A0" w:rsidRPr="00C7623F">
        <w:rPr>
          <w:rFonts w:ascii="Times New Roman" w:hAnsi="Times New Roman" w:cs="Times New Roman"/>
          <w:sz w:val="24"/>
          <w:szCs w:val="24"/>
        </w:rPr>
        <w:t>međutim budući da tu skupinu prihoda knjižimo na konto 639 bez prethodne suglasnosti davatelja prihoda ne smijemo planirati tu aktivnost.</w:t>
      </w:r>
      <w:r w:rsidR="00D94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E59" w:rsidRPr="007F7E59">
        <w:rPr>
          <w:rFonts w:ascii="Times New Roman" w:hAnsi="Times New Roman" w:cs="Times New Roman"/>
          <w:sz w:val="24"/>
          <w:szCs w:val="24"/>
        </w:rPr>
        <w:t xml:space="preserve">Iz ovog izvora u 2025. godini planirano je ostvariti </w:t>
      </w:r>
      <w:r w:rsidR="007F7E59">
        <w:rPr>
          <w:rFonts w:ascii="Times New Roman" w:hAnsi="Times New Roman" w:cs="Times New Roman"/>
          <w:sz w:val="24"/>
          <w:szCs w:val="24"/>
        </w:rPr>
        <w:t>50.600,00</w:t>
      </w:r>
      <w:r w:rsidR="007F7E59" w:rsidRPr="007F7E5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1781E4A" w14:textId="6DBAB79B" w:rsidR="0074576C" w:rsidRDefault="0074576C" w:rsidP="0074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Vlastiti prihodi</w:t>
      </w:r>
      <w:r w:rsidR="007F7E59">
        <w:rPr>
          <w:rFonts w:ascii="Times New Roman" w:hAnsi="Times New Roman" w:cs="Times New Roman"/>
          <w:sz w:val="24"/>
          <w:szCs w:val="24"/>
        </w:rPr>
        <w:t xml:space="preserve"> (izvor 31)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prihodi koji se ostvaruju na tržištu, a koje mogu obavljati i fizičke i pravne osobe koje nisu proračunski korisnici. </w:t>
      </w:r>
      <w:r w:rsidR="007F7E59">
        <w:rPr>
          <w:rFonts w:ascii="Times New Roman" w:hAnsi="Times New Roman" w:cs="Times New Roman"/>
          <w:sz w:val="24"/>
          <w:szCs w:val="24"/>
        </w:rPr>
        <w:t xml:space="preserve">Iz ovog izvora u 2025. godini planirano je ostvariti 4.000,00 eura </w:t>
      </w:r>
      <w:r>
        <w:rPr>
          <w:rFonts w:ascii="Times New Roman" w:hAnsi="Times New Roman" w:cs="Times New Roman"/>
          <w:sz w:val="24"/>
          <w:szCs w:val="24"/>
        </w:rPr>
        <w:t xml:space="preserve">od programa cjeloživotnog učenja (kooperativno učenje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radionice-KOLO, emocionalno socijalne kompetencije-ESK i tematski centrirane interakcije-TCI) </w:t>
      </w:r>
      <w:r w:rsidR="007F7E59">
        <w:rPr>
          <w:rFonts w:ascii="Times New Roman" w:hAnsi="Times New Roman" w:cs="Times New Roman"/>
          <w:sz w:val="24"/>
          <w:szCs w:val="24"/>
        </w:rPr>
        <w:t xml:space="preserve">i zakupa poslovnog prostora za </w:t>
      </w:r>
      <w:proofErr w:type="spellStart"/>
      <w:r w:rsidR="007F7E59">
        <w:rPr>
          <w:rFonts w:ascii="Times New Roman" w:hAnsi="Times New Roman" w:cs="Times New Roman"/>
          <w:sz w:val="24"/>
          <w:szCs w:val="24"/>
        </w:rPr>
        <w:t>samoposlužni</w:t>
      </w:r>
      <w:proofErr w:type="spellEnd"/>
      <w:r w:rsidR="007F7E59">
        <w:rPr>
          <w:rFonts w:ascii="Times New Roman" w:hAnsi="Times New Roman" w:cs="Times New Roman"/>
          <w:sz w:val="24"/>
          <w:szCs w:val="24"/>
        </w:rPr>
        <w:t xml:space="preserve"> aparat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216B0" w14:textId="4C9E90BB" w:rsidR="00514A9E" w:rsidRDefault="0074576C" w:rsidP="007457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Donacije</w:t>
      </w:r>
      <w:r w:rsidR="007F7E59">
        <w:rPr>
          <w:rFonts w:ascii="Times New Roman" w:hAnsi="Times New Roman" w:cs="Times New Roman"/>
          <w:sz w:val="24"/>
          <w:szCs w:val="24"/>
        </w:rPr>
        <w:t xml:space="preserve"> (izvor 61)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7F7E59">
        <w:rPr>
          <w:rFonts w:ascii="Times New Roman" w:hAnsi="Times New Roman" w:cs="Times New Roman"/>
          <w:sz w:val="24"/>
          <w:szCs w:val="24"/>
        </w:rPr>
        <w:t xml:space="preserve"> prihod koji planiramo dobiti od</w:t>
      </w:r>
      <w:r>
        <w:rPr>
          <w:rFonts w:ascii="Times New Roman" w:hAnsi="Times New Roman" w:cs="Times New Roman"/>
          <w:sz w:val="24"/>
          <w:szCs w:val="24"/>
        </w:rPr>
        <w:t xml:space="preserve"> Crkvenih </w:t>
      </w:r>
      <w:r w:rsidR="007F7E59">
        <w:rPr>
          <w:rFonts w:ascii="Times New Roman" w:hAnsi="Times New Roman" w:cs="Times New Roman"/>
          <w:sz w:val="24"/>
          <w:szCs w:val="24"/>
        </w:rPr>
        <w:t>ustanova</w:t>
      </w:r>
      <w:r>
        <w:rPr>
          <w:rFonts w:ascii="Times New Roman" w:hAnsi="Times New Roman" w:cs="Times New Roman"/>
          <w:sz w:val="24"/>
          <w:szCs w:val="24"/>
        </w:rPr>
        <w:t xml:space="preserve"> za organiziranje znanstven</w:t>
      </w:r>
      <w:r w:rsidR="007F7E59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simpozija i</w:t>
      </w:r>
      <w:r w:rsidR="007F7E59">
        <w:rPr>
          <w:rFonts w:ascii="Times New Roman" w:hAnsi="Times New Roman" w:cs="Times New Roman"/>
          <w:sz w:val="24"/>
          <w:szCs w:val="24"/>
        </w:rPr>
        <w:t xml:space="preserve"> znanstvenih</w:t>
      </w:r>
      <w:r>
        <w:rPr>
          <w:rFonts w:ascii="Times New Roman" w:hAnsi="Times New Roman" w:cs="Times New Roman"/>
          <w:sz w:val="24"/>
          <w:szCs w:val="24"/>
        </w:rPr>
        <w:t xml:space="preserve"> skupova</w:t>
      </w:r>
      <w:r w:rsidR="007F7E59">
        <w:rPr>
          <w:rFonts w:ascii="Times New Roman" w:hAnsi="Times New Roman" w:cs="Times New Roman"/>
          <w:sz w:val="24"/>
          <w:szCs w:val="24"/>
        </w:rPr>
        <w:t>, a u 2025. godini planirani iznos je 6.500,00 e</w:t>
      </w:r>
      <w:r>
        <w:rPr>
          <w:rFonts w:ascii="Times New Roman" w:hAnsi="Times New Roman" w:cs="Times New Roman"/>
          <w:sz w:val="24"/>
          <w:szCs w:val="24"/>
        </w:rPr>
        <w:t>ura.</w:t>
      </w:r>
    </w:p>
    <w:p w14:paraId="122BE357" w14:textId="77777777" w:rsidR="00834AA7" w:rsidRDefault="00834AA7" w:rsidP="00834AA7">
      <w:pPr>
        <w:spacing w:after="0" w:line="240" w:lineRule="auto"/>
        <w:jc w:val="both"/>
        <w:rPr>
          <w:i/>
        </w:rPr>
      </w:pPr>
    </w:p>
    <w:p w14:paraId="0EB842A9" w14:textId="4DE2194C" w:rsidR="00514A9E" w:rsidRDefault="00514A9E" w:rsidP="005207D0">
      <w:pPr>
        <w:spacing w:after="0"/>
        <w:jc w:val="both"/>
        <w:rPr>
          <w:i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F13C94" w:rsidRPr="009A6A94" w14:paraId="6C6353C7" w14:textId="77777777" w:rsidTr="00233675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1C02DAF" w14:textId="7777777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4A540E2" w14:textId="7777777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22B6DB52" w14:textId="7777777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C089BA0" w14:textId="7777777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14723DD" w14:textId="7777777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137ADDA" w14:textId="017CBFE7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233D89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015527F" w14:textId="4816238B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233D89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6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D0AA4DC" w14:textId="04585655" w:rsidR="00F13C94" w:rsidRPr="009A6A9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Ciljana vrijednost za 202</w:t>
            </w:r>
            <w:r w:rsidR="00233D89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</w:t>
            </w:r>
            <w:r w:rsidRPr="009A6A9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</w:t>
            </w:r>
          </w:p>
        </w:tc>
      </w:tr>
      <w:tr w:rsidR="00F13C94" w:rsidRPr="009A6A94" w14:paraId="33C93461" w14:textId="77777777" w:rsidTr="00F13C94">
        <w:tc>
          <w:tcPr>
            <w:tcW w:w="1129" w:type="dxa"/>
            <w:vAlign w:val="center"/>
          </w:tcPr>
          <w:p w14:paraId="2603506D" w14:textId="77777777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  <w:p w14:paraId="3991DA8D" w14:textId="43FB92D6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Broj upisanih studenata na </w:t>
            </w:r>
            <w:proofErr w:type="spellStart"/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posljediplomskom</w:t>
            </w:r>
            <w:proofErr w:type="spellEnd"/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studiju</w:t>
            </w:r>
          </w:p>
        </w:tc>
        <w:tc>
          <w:tcPr>
            <w:tcW w:w="1560" w:type="dxa"/>
            <w:vAlign w:val="center"/>
          </w:tcPr>
          <w:p w14:paraId="2B7A245F" w14:textId="0309DE52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Povećanje broja  novoupisanih studenata</w:t>
            </w:r>
          </w:p>
        </w:tc>
        <w:tc>
          <w:tcPr>
            <w:tcW w:w="1118" w:type="dxa"/>
            <w:vAlign w:val="center"/>
          </w:tcPr>
          <w:p w14:paraId="07D21F7D" w14:textId="4011C45F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student</w:t>
            </w:r>
          </w:p>
        </w:tc>
        <w:tc>
          <w:tcPr>
            <w:tcW w:w="1119" w:type="dxa"/>
            <w:vAlign w:val="center"/>
          </w:tcPr>
          <w:p w14:paraId="230EC31F" w14:textId="761FF88F" w:rsidR="00F13C94" w:rsidRPr="001748A4" w:rsidRDefault="00233D89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15</w:t>
            </w:r>
          </w:p>
        </w:tc>
        <w:tc>
          <w:tcPr>
            <w:tcW w:w="1119" w:type="dxa"/>
            <w:vAlign w:val="center"/>
          </w:tcPr>
          <w:p w14:paraId="08604565" w14:textId="46B1F98F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Fakultet/referada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52F1F4" w14:textId="4BB88180" w:rsidR="00F13C94" w:rsidRPr="001748A4" w:rsidRDefault="00233D89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119" w:type="dxa"/>
            <w:vAlign w:val="center"/>
          </w:tcPr>
          <w:p w14:paraId="39191BAC" w14:textId="67241100" w:rsidR="00F13C94" w:rsidRPr="001748A4" w:rsidRDefault="00233D89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119" w:type="dxa"/>
            <w:vAlign w:val="center"/>
          </w:tcPr>
          <w:p w14:paraId="6A831E0A" w14:textId="18C8A466" w:rsidR="00F13C94" w:rsidRPr="001748A4" w:rsidRDefault="00F13C94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  <w:p w14:paraId="72318941" w14:textId="250843C9" w:rsidR="00F13C94" w:rsidRPr="001748A4" w:rsidRDefault="00233D89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20</w:t>
            </w:r>
          </w:p>
          <w:p w14:paraId="13475D0B" w14:textId="4DF6052E" w:rsidR="00F13C94" w:rsidRPr="001748A4" w:rsidRDefault="00F13C94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</w:tc>
      </w:tr>
      <w:tr w:rsidR="00F13C94" w:rsidRPr="009A6A94" w14:paraId="08659667" w14:textId="77777777" w:rsidTr="001A42CD">
        <w:tc>
          <w:tcPr>
            <w:tcW w:w="1129" w:type="dxa"/>
            <w:vAlign w:val="center"/>
          </w:tcPr>
          <w:p w14:paraId="6760EB69" w14:textId="0CF489D2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lastRenderedPageBreak/>
              <w:t>Smanjiti broj studenata koji se ispisuju s Fakulteta</w:t>
            </w:r>
          </w:p>
        </w:tc>
        <w:tc>
          <w:tcPr>
            <w:tcW w:w="1560" w:type="dxa"/>
            <w:vAlign w:val="center"/>
          </w:tcPr>
          <w:p w14:paraId="0C341BA6" w14:textId="4AE608F0" w:rsidR="00F13C94" w:rsidRPr="001748A4" w:rsidRDefault="001A42C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Motivirati studente nastavak studiranja</w:t>
            </w:r>
          </w:p>
        </w:tc>
        <w:tc>
          <w:tcPr>
            <w:tcW w:w="1118" w:type="dxa"/>
            <w:vAlign w:val="center"/>
          </w:tcPr>
          <w:p w14:paraId="4615767D" w14:textId="518B7221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Ispisani student</w:t>
            </w:r>
          </w:p>
        </w:tc>
        <w:tc>
          <w:tcPr>
            <w:tcW w:w="1119" w:type="dxa"/>
            <w:vAlign w:val="center"/>
          </w:tcPr>
          <w:p w14:paraId="406F6251" w14:textId="1FF82ED3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17</w:t>
            </w:r>
          </w:p>
        </w:tc>
        <w:tc>
          <w:tcPr>
            <w:tcW w:w="1119" w:type="dxa"/>
            <w:vAlign w:val="center"/>
          </w:tcPr>
          <w:p w14:paraId="0C1B8D27" w14:textId="6577EFF6" w:rsidR="00F13C94" w:rsidRPr="001748A4" w:rsidRDefault="00F13C9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Fakultet/referada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02CED6" w14:textId="13B2CA28" w:rsidR="00F13C94" w:rsidRPr="001748A4" w:rsidRDefault="00233D89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119" w:type="dxa"/>
            <w:vAlign w:val="center"/>
          </w:tcPr>
          <w:p w14:paraId="3EC5AE06" w14:textId="63E3211A" w:rsidR="00F13C94" w:rsidRPr="001748A4" w:rsidRDefault="00233D89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1119" w:type="dxa"/>
            <w:vAlign w:val="center"/>
          </w:tcPr>
          <w:p w14:paraId="40B2048E" w14:textId="2D7A51AB" w:rsidR="00F13C94" w:rsidRPr="001748A4" w:rsidRDefault="00233D89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</w:p>
        </w:tc>
      </w:tr>
      <w:tr w:rsidR="001A42CD" w:rsidRPr="009A6A94" w14:paraId="22F558AA" w14:textId="77777777" w:rsidTr="0008727D">
        <w:tc>
          <w:tcPr>
            <w:tcW w:w="1129" w:type="dxa"/>
            <w:vAlign w:val="center"/>
          </w:tcPr>
          <w:p w14:paraId="5D90F055" w14:textId="6A34C22B" w:rsidR="001A42CD" w:rsidRPr="001748A4" w:rsidRDefault="001A42C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Povećati broj znanstvenih simpozija</w:t>
            </w:r>
          </w:p>
        </w:tc>
        <w:tc>
          <w:tcPr>
            <w:tcW w:w="1560" w:type="dxa"/>
            <w:vAlign w:val="center"/>
          </w:tcPr>
          <w:p w14:paraId="1C60E3CB" w14:textId="4A2749E6" w:rsidR="001A42CD" w:rsidRPr="001748A4" w:rsidRDefault="001A42C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Organizirati</w:t>
            </w:r>
            <w:r w:rsidR="0008727D"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/suorganizirati </w:t>
            </w: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više znanstvenih simpozija</w:t>
            </w:r>
          </w:p>
        </w:tc>
        <w:tc>
          <w:tcPr>
            <w:tcW w:w="1118" w:type="dxa"/>
            <w:vAlign w:val="center"/>
          </w:tcPr>
          <w:p w14:paraId="4C0FA056" w14:textId="0C9A5F7E" w:rsidR="001A42CD" w:rsidRPr="001748A4" w:rsidRDefault="001A42C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simpozij</w:t>
            </w:r>
          </w:p>
        </w:tc>
        <w:tc>
          <w:tcPr>
            <w:tcW w:w="1119" w:type="dxa"/>
            <w:vAlign w:val="center"/>
          </w:tcPr>
          <w:p w14:paraId="0E86E8EC" w14:textId="1E548FEC" w:rsidR="001A42CD" w:rsidRPr="001748A4" w:rsidRDefault="00233D89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1119" w:type="dxa"/>
            <w:vAlign w:val="center"/>
          </w:tcPr>
          <w:p w14:paraId="68A26BDD" w14:textId="64758827" w:rsidR="001A42CD" w:rsidRPr="001748A4" w:rsidRDefault="001A42C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Fakultet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10FE16" w14:textId="4D35100E" w:rsidR="001A42CD" w:rsidRPr="001748A4" w:rsidRDefault="00435F82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1119" w:type="dxa"/>
            <w:vAlign w:val="center"/>
          </w:tcPr>
          <w:p w14:paraId="38F0750C" w14:textId="0D300F69" w:rsidR="001A42CD" w:rsidRPr="001748A4" w:rsidRDefault="001748A4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1119" w:type="dxa"/>
            <w:vAlign w:val="center"/>
          </w:tcPr>
          <w:p w14:paraId="7BC72C24" w14:textId="339C611E" w:rsidR="001A42CD" w:rsidRPr="001748A4" w:rsidRDefault="001748A4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</w:t>
            </w:r>
          </w:p>
        </w:tc>
      </w:tr>
      <w:tr w:rsidR="0008727D" w:rsidRPr="009A6A94" w14:paraId="173D1746" w14:textId="77777777" w:rsidTr="00233675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6E286B" w14:textId="3FFC17F3" w:rsidR="0008727D" w:rsidRPr="001748A4" w:rsidRDefault="0008727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Održani programi cjeloživotnog obrazovanja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118922" w14:textId="60CFFB1D" w:rsidR="0008727D" w:rsidRPr="001748A4" w:rsidRDefault="0008727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Potaknuti profesore da organiziraju programe cjeloživotnog obrazovanja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8C6A55B" w14:textId="0A0BC0E7" w:rsidR="0008727D" w:rsidRPr="001748A4" w:rsidRDefault="0008727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 cjeloživotnog obrazovanja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7C28340" w14:textId="096A206C" w:rsidR="0008727D" w:rsidRPr="001748A4" w:rsidRDefault="001748A4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C321D5E" w14:textId="5D383D04" w:rsidR="0008727D" w:rsidRPr="001748A4" w:rsidRDefault="0008727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874D" w14:textId="5189AB5A" w:rsidR="0008727D" w:rsidRPr="001748A4" w:rsidRDefault="0008727D" w:rsidP="00233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B5C5AE1" w14:textId="297F80ED" w:rsidR="0008727D" w:rsidRPr="001748A4" w:rsidRDefault="0008727D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11755A3" w14:textId="5F4D0D72" w:rsidR="0008727D" w:rsidRPr="001748A4" w:rsidRDefault="001748A4" w:rsidP="00F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748A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4</w:t>
            </w:r>
          </w:p>
        </w:tc>
      </w:tr>
    </w:tbl>
    <w:p w14:paraId="75F15285" w14:textId="45F7B752" w:rsidR="00514A9E" w:rsidRDefault="00514A9E" w:rsidP="005207D0">
      <w:pPr>
        <w:spacing w:after="0"/>
        <w:jc w:val="both"/>
        <w:rPr>
          <w:i/>
        </w:rPr>
      </w:pPr>
    </w:p>
    <w:p w14:paraId="4B409A22" w14:textId="0865DFEC" w:rsidR="00514A9E" w:rsidRDefault="00514A9E" w:rsidP="005207D0">
      <w:pPr>
        <w:spacing w:after="0"/>
        <w:jc w:val="both"/>
        <w:rPr>
          <w:i/>
        </w:rPr>
      </w:pPr>
    </w:p>
    <w:p w14:paraId="474C24D8" w14:textId="4F2E5094" w:rsidR="00514A9E" w:rsidRDefault="00514A9E" w:rsidP="005207D0">
      <w:pPr>
        <w:spacing w:after="0"/>
        <w:jc w:val="both"/>
        <w:rPr>
          <w:i/>
        </w:rPr>
      </w:pPr>
    </w:p>
    <w:p w14:paraId="3ED61D00" w14:textId="37235DAB" w:rsidR="00514A9E" w:rsidRDefault="00514A9E" w:rsidP="005207D0">
      <w:pPr>
        <w:spacing w:after="0"/>
        <w:jc w:val="both"/>
        <w:rPr>
          <w:i/>
        </w:rPr>
      </w:pPr>
    </w:p>
    <w:p w14:paraId="62CD4CB3" w14:textId="79045839" w:rsidR="00514A9E" w:rsidRDefault="00514A9E" w:rsidP="005207D0">
      <w:pPr>
        <w:spacing w:after="0"/>
        <w:jc w:val="both"/>
        <w:rPr>
          <w:i/>
        </w:rPr>
      </w:pPr>
    </w:p>
    <w:p w14:paraId="36B983CF" w14:textId="060274D8" w:rsidR="00514A9E" w:rsidRDefault="00514A9E" w:rsidP="005207D0">
      <w:pPr>
        <w:spacing w:after="0"/>
        <w:jc w:val="both"/>
        <w:rPr>
          <w:i/>
        </w:rPr>
      </w:pPr>
    </w:p>
    <w:p w14:paraId="27493160" w14:textId="3DF7FE7A" w:rsidR="00514A9E" w:rsidRDefault="00514A9E" w:rsidP="005207D0">
      <w:pPr>
        <w:spacing w:after="0"/>
        <w:jc w:val="both"/>
        <w:rPr>
          <w:i/>
        </w:rPr>
      </w:pPr>
    </w:p>
    <w:p w14:paraId="6DEA568C" w14:textId="52073CF5" w:rsidR="00514A9E" w:rsidRDefault="00514A9E" w:rsidP="005207D0">
      <w:pPr>
        <w:spacing w:after="0"/>
        <w:jc w:val="both"/>
        <w:rPr>
          <w:i/>
        </w:rPr>
      </w:pPr>
    </w:p>
    <w:p w14:paraId="7ABA65D5" w14:textId="5BE18C9F" w:rsidR="00514A9E" w:rsidRDefault="00514A9E" w:rsidP="005207D0">
      <w:pPr>
        <w:spacing w:after="0"/>
        <w:jc w:val="both"/>
        <w:rPr>
          <w:i/>
        </w:rPr>
      </w:pPr>
    </w:p>
    <w:p w14:paraId="76DC8D7E" w14:textId="062D23E5" w:rsidR="00514A9E" w:rsidRDefault="00514A9E" w:rsidP="005207D0">
      <w:pPr>
        <w:spacing w:after="0"/>
        <w:jc w:val="both"/>
        <w:rPr>
          <w:i/>
        </w:rPr>
      </w:pPr>
    </w:p>
    <w:p w14:paraId="0CC6CB41" w14:textId="77777777" w:rsidR="00514A9E" w:rsidRDefault="00514A9E" w:rsidP="005207D0">
      <w:pPr>
        <w:spacing w:after="0"/>
        <w:jc w:val="both"/>
        <w:rPr>
          <w:i/>
        </w:rPr>
      </w:pPr>
    </w:p>
    <w:p w14:paraId="53C137A0" w14:textId="77777777" w:rsidR="00AC01AE" w:rsidRDefault="00AC01AE" w:rsidP="00A21AC0">
      <w:pPr>
        <w:pStyle w:val="Odlomakpopisa"/>
        <w:jc w:val="both"/>
        <w:rPr>
          <w:i/>
        </w:rPr>
      </w:pPr>
    </w:p>
    <w:p w14:paraId="11E3565B" w14:textId="77777777" w:rsidR="00AC01AE" w:rsidRPr="00C857CC" w:rsidRDefault="00AC01AE" w:rsidP="00C857CC">
      <w:pPr>
        <w:jc w:val="both"/>
        <w:rPr>
          <w:i/>
        </w:rPr>
      </w:pPr>
    </w:p>
    <w:sectPr w:rsidR="00AC01AE" w:rsidRPr="00C857CC" w:rsidSect="007142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CB92" w14:textId="77777777" w:rsidR="00C550D8" w:rsidRDefault="00C550D8">
      <w:pPr>
        <w:spacing w:after="0" w:line="240" w:lineRule="auto"/>
      </w:pPr>
      <w:r>
        <w:separator/>
      </w:r>
    </w:p>
  </w:endnote>
  <w:endnote w:type="continuationSeparator" w:id="0">
    <w:p w14:paraId="260A488E" w14:textId="77777777" w:rsidR="00C550D8" w:rsidRDefault="00C5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1DBB0C88" w14:textId="77777777"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F0">
          <w:rPr>
            <w:noProof/>
          </w:rPr>
          <w:t>4</w:t>
        </w:r>
        <w:r>
          <w:fldChar w:fldCharType="end"/>
        </w:r>
      </w:p>
    </w:sdtContent>
  </w:sdt>
  <w:p w14:paraId="2BDC8377" w14:textId="77777777" w:rsidR="009D005B" w:rsidRDefault="00C550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4C0D2" w14:textId="77777777" w:rsidR="00C550D8" w:rsidRDefault="00C550D8">
      <w:pPr>
        <w:spacing w:after="0" w:line="240" w:lineRule="auto"/>
      </w:pPr>
      <w:r>
        <w:separator/>
      </w:r>
    </w:p>
  </w:footnote>
  <w:footnote w:type="continuationSeparator" w:id="0">
    <w:p w14:paraId="56A6C3C6" w14:textId="77777777" w:rsidR="00C550D8" w:rsidRDefault="00C5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82110E"/>
    <w:multiLevelType w:val="hybridMultilevel"/>
    <w:tmpl w:val="0DD88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14667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8C9"/>
    <w:multiLevelType w:val="hybridMultilevel"/>
    <w:tmpl w:val="DAE042CC"/>
    <w:lvl w:ilvl="0" w:tplc="D3085A26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30DD7"/>
    <w:multiLevelType w:val="hybridMultilevel"/>
    <w:tmpl w:val="C47C425E"/>
    <w:lvl w:ilvl="0" w:tplc="50E0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1390"/>
    <w:multiLevelType w:val="hybridMultilevel"/>
    <w:tmpl w:val="4A60A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532C"/>
    <w:multiLevelType w:val="hybridMultilevel"/>
    <w:tmpl w:val="3F727216"/>
    <w:lvl w:ilvl="0" w:tplc="13F4B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295E"/>
    <w:multiLevelType w:val="multilevel"/>
    <w:tmpl w:val="621A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6074F"/>
    <w:rsid w:val="000643C4"/>
    <w:rsid w:val="00065B6C"/>
    <w:rsid w:val="0008727D"/>
    <w:rsid w:val="000B5575"/>
    <w:rsid w:val="000D46A3"/>
    <w:rsid w:val="000D6D2E"/>
    <w:rsid w:val="00141F36"/>
    <w:rsid w:val="001559F4"/>
    <w:rsid w:val="001748A4"/>
    <w:rsid w:val="00184557"/>
    <w:rsid w:val="00186540"/>
    <w:rsid w:val="001A42CD"/>
    <w:rsid w:val="001B0799"/>
    <w:rsid w:val="001B0F7A"/>
    <w:rsid w:val="001B15CB"/>
    <w:rsid w:val="001B75A8"/>
    <w:rsid w:val="001C494D"/>
    <w:rsid w:val="001E1A7E"/>
    <w:rsid w:val="001F15F1"/>
    <w:rsid w:val="00220BF7"/>
    <w:rsid w:val="00227D81"/>
    <w:rsid w:val="002335FE"/>
    <w:rsid w:val="00233D89"/>
    <w:rsid w:val="0025436A"/>
    <w:rsid w:val="002718FA"/>
    <w:rsid w:val="00271A50"/>
    <w:rsid w:val="00292667"/>
    <w:rsid w:val="002B2164"/>
    <w:rsid w:val="002C7121"/>
    <w:rsid w:val="002D444E"/>
    <w:rsid w:val="00312480"/>
    <w:rsid w:val="003127DB"/>
    <w:rsid w:val="003239CD"/>
    <w:rsid w:val="00324025"/>
    <w:rsid w:val="00326B90"/>
    <w:rsid w:val="00352442"/>
    <w:rsid w:val="003B2CF0"/>
    <w:rsid w:val="003E70D2"/>
    <w:rsid w:val="003F366D"/>
    <w:rsid w:val="00421101"/>
    <w:rsid w:val="00422CBC"/>
    <w:rsid w:val="0043132F"/>
    <w:rsid w:val="00435F82"/>
    <w:rsid w:val="00481D0C"/>
    <w:rsid w:val="004A4E59"/>
    <w:rsid w:val="004B4E3D"/>
    <w:rsid w:val="004C033A"/>
    <w:rsid w:val="004C3A59"/>
    <w:rsid w:val="004E02C5"/>
    <w:rsid w:val="004F2832"/>
    <w:rsid w:val="0051336D"/>
    <w:rsid w:val="00514A9E"/>
    <w:rsid w:val="005157A9"/>
    <w:rsid w:val="005207D0"/>
    <w:rsid w:val="00520FA8"/>
    <w:rsid w:val="00523EC5"/>
    <w:rsid w:val="005351E4"/>
    <w:rsid w:val="00572305"/>
    <w:rsid w:val="00573376"/>
    <w:rsid w:val="00580A5F"/>
    <w:rsid w:val="00585281"/>
    <w:rsid w:val="0059532B"/>
    <w:rsid w:val="005A1CE4"/>
    <w:rsid w:val="005C3261"/>
    <w:rsid w:val="005E5054"/>
    <w:rsid w:val="005E7C72"/>
    <w:rsid w:val="005F54DB"/>
    <w:rsid w:val="006252B1"/>
    <w:rsid w:val="006263D5"/>
    <w:rsid w:val="006571D8"/>
    <w:rsid w:val="00673221"/>
    <w:rsid w:val="00697458"/>
    <w:rsid w:val="006A30C1"/>
    <w:rsid w:val="006B1F20"/>
    <w:rsid w:val="006D0BB3"/>
    <w:rsid w:val="006F4274"/>
    <w:rsid w:val="007011AD"/>
    <w:rsid w:val="00703212"/>
    <w:rsid w:val="00713ECC"/>
    <w:rsid w:val="00714250"/>
    <w:rsid w:val="0074576C"/>
    <w:rsid w:val="007612A4"/>
    <w:rsid w:val="00761726"/>
    <w:rsid w:val="0076419F"/>
    <w:rsid w:val="007A1CD4"/>
    <w:rsid w:val="007C7BBE"/>
    <w:rsid w:val="007E7362"/>
    <w:rsid w:val="007F7E59"/>
    <w:rsid w:val="008030C4"/>
    <w:rsid w:val="008223B8"/>
    <w:rsid w:val="00833DA6"/>
    <w:rsid w:val="00834AA7"/>
    <w:rsid w:val="00846E65"/>
    <w:rsid w:val="00873C09"/>
    <w:rsid w:val="00874840"/>
    <w:rsid w:val="008750BD"/>
    <w:rsid w:val="008F17D5"/>
    <w:rsid w:val="008F438C"/>
    <w:rsid w:val="008F6935"/>
    <w:rsid w:val="0091071D"/>
    <w:rsid w:val="00936745"/>
    <w:rsid w:val="00982C07"/>
    <w:rsid w:val="0099197E"/>
    <w:rsid w:val="009A65A8"/>
    <w:rsid w:val="009A6A94"/>
    <w:rsid w:val="009B4F4A"/>
    <w:rsid w:val="009E2203"/>
    <w:rsid w:val="009E63BC"/>
    <w:rsid w:val="00A02FA5"/>
    <w:rsid w:val="00A049D7"/>
    <w:rsid w:val="00A105C1"/>
    <w:rsid w:val="00A14947"/>
    <w:rsid w:val="00A21AC0"/>
    <w:rsid w:val="00A23DE1"/>
    <w:rsid w:val="00A75B4F"/>
    <w:rsid w:val="00A966B0"/>
    <w:rsid w:val="00AC01AE"/>
    <w:rsid w:val="00AC4A1C"/>
    <w:rsid w:val="00AD623B"/>
    <w:rsid w:val="00AE1C12"/>
    <w:rsid w:val="00B41643"/>
    <w:rsid w:val="00B62F57"/>
    <w:rsid w:val="00B70887"/>
    <w:rsid w:val="00B709C9"/>
    <w:rsid w:val="00B737F0"/>
    <w:rsid w:val="00B7598C"/>
    <w:rsid w:val="00BB47B9"/>
    <w:rsid w:val="00BD7FDD"/>
    <w:rsid w:val="00BE741E"/>
    <w:rsid w:val="00BF2FFD"/>
    <w:rsid w:val="00C009C3"/>
    <w:rsid w:val="00C550D8"/>
    <w:rsid w:val="00C56753"/>
    <w:rsid w:val="00C80902"/>
    <w:rsid w:val="00C84559"/>
    <w:rsid w:val="00C857CC"/>
    <w:rsid w:val="00CA2C58"/>
    <w:rsid w:val="00CA5C35"/>
    <w:rsid w:val="00CB5971"/>
    <w:rsid w:val="00CB764D"/>
    <w:rsid w:val="00CD3BBE"/>
    <w:rsid w:val="00CE2D8E"/>
    <w:rsid w:val="00CE4F32"/>
    <w:rsid w:val="00D35B8C"/>
    <w:rsid w:val="00D7666D"/>
    <w:rsid w:val="00D81CE2"/>
    <w:rsid w:val="00D91780"/>
    <w:rsid w:val="00D944A0"/>
    <w:rsid w:val="00D95301"/>
    <w:rsid w:val="00DA7AFE"/>
    <w:rsid w:val="00DB5ED0"/>
    <w:rsid w:val="00DC178C"/>
    <w:rsid w:val="00DC3209"/>
    <w:rsid w:val="00DE4201"/>
    <w:rsid w:val="00DE7915"/>
    <w:rsid w:val="00E3117F"/>
    <w:rsid w:val="00E5121B"/>
    <w:rsid w:val="00E71B40"/>
    <w:rsid w:val="00E925A6"/>
    <w:rsid w:val="00EB5F2E"/>
    <w:rsid w:val="00EF05CF"/>
    <w:rsid w:val="00F12286"/>
    <w:rsid w:val="00F13C94"/>
    <w:rsid w:val="00F320E6"/>
    <w:rsid w:val="00F57CCC"/>
    <w:rsid w:val="00F614B3"/>
    <w:rsid w:val="00F77E40"/>
    <w:rsid w:val="00F815A6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08B7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ind w:left="720"/>
      <w:contextualSpacing/>
    </w:pPr>
  </w:style>
  <w:style w:type="paragraph" w:customStyle="1" w:styleId="box459528">
    <w:name w:val="box_459528"/>
    <w:basedOn w:val="Normal"/>
    <w:rsid w:val="004A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olestojea">
    <w:name w:val="dolestojeća"/>
    <w:basedOn w:val="Zadanifontodlomka"/>
    <w:rsid w:val="004A4E59"/>
  </w:style>
  <w:style w:type="character" w:styleId="Hiperveza">
    <w:name w:val="Hyperlink"/>
    <w:basedOn w:val="Zadanifontodlomka"/>
    <w:uiPriority w:val="99"/>
    <w:semiHidden/>
    <w:unhideWhenUsed/>
    <w:rsid w:val="004A4E59"/>
    <w:rPr>
      <w:color w:val="0000FF"/>
      <w:u w:val="single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1E1A7E"/>
  </w:style>
  <w:style w:type="paragraph" w:styleId="Zaglavlje">
    <w:name w:val="header"/>
    <w:basedOn w:val="Normal"/>
    <w:link w:val="ZaglavljeChar"/>
    <w:uiPriority w:val="99"/>
    <w:unhideWhenUsed/>
    <w:rsid w:val="0076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726"/>
  </w:style>
  <w:style w:type="paragraph" w:styleId="Tekstbalonia">
    <w:name w:val="Balloon Text"/>
    <w:basedOn w:val="Normal"/>
    <w:link w:val="TekstbaloniaChar"/>
    <w:uiPriority w:val="99"/>
    <w:semiHidden/>
    <w:unhideWhenUsed/>
    <w:rsid w:val="0017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CE803CC2444FB13DEE3E218F5B62" ma:contentTypeVersion="9" ma:contentTypeDescription="Stvaranje novog dokumenta." ma:contentTypeScope="" ma:versionID="3ebae9c7d99b9e22cb2eb7202d07cd7f">
  <xsd:schema xmlns:xsd="http://www.w3.org/2001/XMLSchema" xmlns:xs="http://www.w3.org/2001/XMLSchema" xmlns:p="http://schemas.microsoft.com/office/2006/metadata/properties" xmlns:ns3="66fe7fc8-1a6b-420f-a384-f36ca90d3301" targetNamespace="http://schemas.microsoft.com/office/2006/metadata/properties" ma:root="true" ma:fieldsID="1e326430e82e91faba30bd73d20cf05c" ns3:_="">
    <xsd:import namespace="66fe7fc8-1a6b-420f-a384-f36ca90d3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fc8-1a6b-420f-a384-f36ca90d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278EE-9051-48AD-9688-67D056BA0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FED18-13C1-41B8-B1D3-03EA2AF56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B7CFD-F731-4F9C-9F69-4C00E435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fc8-1a6b-420f-a384-f36ca90d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Ivan Čarić</cp:lastModifiedBy>
  <cp:revision>7</cp:revision>
  <cp:lastPrinted>2025-03-10T13:35:00Z</cp:lastPrinted>
  <dcterms:created xsi:type="dcterms:W3CDTF">2025-02-28T12:58:00Z</dcterms:created>
  <dcterms:modified xsi:type="dcterms:W3CDTF">2025-03-24T07:21:00Z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da9b6754d0d185acac478675338253a49e7c506f24855512c54e596d3be21c7b</vt:lpwstr>
  </property>
  <property fmtid="{D5CDD505-2E9C-101B-9397-08002B2CF9AE}" pid="3" name="ContentTypeId">
    <vt:lpwstr>0x010100A5D3CE803CC2444FB13DEE3E218F5B62</vt:lpwstr>
  </property>
</Properties>
</file>